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bookmarkStart w:id="0" w:name="_Toc524116940"/>
      <w:bookmarkStart w:id="1" w:name="_Hlk35092842"/>
      <w:bookmarkStart w:id="2" w:name="_Toc438541454"/>
      <w:bookmarkStart w:id="3" w:name="_Toc439061743"/>
    </w:p>
    <w:p/>
    <w:p/>
    <w:p/>
    <w:p>
      <w:pPr>
        <w:rPr>
          <w:sz w:val="20"/>
        </w:rPr>
      </w:pPr>
      <w:r>
        <mc:AlternateContent>
          <mc:Choice Requires="wps">
            <w:drawing>
              <wp:anchor distT="0" distB="0" distL="114300" distR="114300" simplePos="0" relativeHeight="251662336" behindDoc="0" locked="0" layoutInCell="1" allowOverlap="1">
                <wp:simplePos x="0" y="0"/>
                <wp:positionH relativeFrom="column">
                  <wp:posOffset>-38100</wp:posOffset>
                </wp:positionH>
                <wp:positionV relativeFrom="paragraph">
                  <wp:posOffset>31750</wp:posOffset>
                </wp:positionV>
                <wp:extent cx="5972175" cy="0"/>
                <wp:effectExtent l="0" t="19050" r="47625" b="38100"/>
                <wp:wrapNone/>
                <wp:docPr id="22" name="Straight Connector 22"/>
                <wp:cNvGraphicFramePr/>
                <a:graphic xmlns:a="http://schemas.openxmlformats.org/drawingml/2006/main">
                  <a:graphicData uri="http://schemas.microsoft.com/office/word/2010/wordprocessingShape">
                    <wps:wsp>
                      <wps:cNvCnPr>
                        <a:cxnSpLocks noChangeShapeType="1"/>
                      </wps:cNvCnPr>
                      <wps:spPr bwMode="auto">
                        <a:xfrm>
                          <a:off x="0" y="0"/>
                          <a:ext cx="5972175" cy="0"/>
                        </a:xfrm>
                        <a:prstGeom prst="line">
                          <a:avLst/>
                        </a:prstGeom>
                        <a:noFill/>
                        <a:ln w="57150">
                          <a:solidFill>
                            <a:srgbClr val="000000"/>
                          </a:solidFill>
                          <a:round/>
                        </a:ln>
                      </wps:spPr>
                      <wps:bodyPr/>
                    </wps:wsp>
                  </a:graphicData>
                </a:graphic>
              </wp:anchor>
            </w:drawing>
          </mc:Choice>
          <mc:Fallback>
            <w:pict>
              <v:line id="Straight Connector 22" o:spid="_x0000_s1026" o:spt="20" style="position:absolute;left:0pt;margin-left:-3pt;margin-top:2.5pt;height:0pt;width:470.25pt;z-index:251662336;mso-width-relative:page;mso-height-relative:page;" filled="f" stroked="t" coordsize="21600,21600" o:gfxdata="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jJEb4tgAAAAGAQAADwAAAAAAAAABACAA&#10;AAAiAAAAZHJzL2Rvd25yZXYueG1sUEsBAhQAFAAAAAgAh07iQC9eJG3UAQAAsAMAAA4AAAAAAAAA&#10;AQAgAAAAJwEAAGRycy9lMm9Eb2MueG1sUEsFBgAAAAAGAAYAWQEAAG0FAAAAAA==&#10;">
                <v:fill on="f" focussize="0,0"/>
                <v:stroke weight="4.5pt" color="#000000" joinstyle="round"/>
                <v:imagedata o:title=""/>
                <o:lock v:ext="edit" aspectratio="f"/>
              </v:line>
            </w:pict>
          </mc:Fallback>
        </mc:AlternateContent>
      </w:r>
    </w:p>
    <w:p/>
    <w:p>
      <w:pPr>
        <w:spacing w:before="120" w:after="120"/>
        <w:jc w:val="left"/>
        <w:rPr>
          <w:rFonts w:cs="Arial"/>
          <w:b/>
          <w:bCs/>
          <w:i/>
          <w:sz w:val="32"/>
          <w:szCs w:val="32"/>
        </w:rPr>
      </w:pPr>
      <w:r>
        <w:rPr>
          <w:rFonts w:cs="Arial"/>
          <w:b/>
          <w:bCs/>
          <w:i/>
          <w:sz w:val="32"/>
          <w:szCs w:val="32"/>
        </w:rPr>
        <w:t>Air Quality Modeling Assessment Tools (AQMAT) Development</w:t>
      </w:r>
    </w:p>
    <w:p>
      <w:pPr>
        <w:spacing w:before="120" w:after="120"/>
        <w:jc w:val="left"/>
        <w:rPr>
          <w:rFonts w:cs="Arial"/>
          <w:b/>
          <w:bCs/>
          <w:i/>
          <w:sz w:val="32"/>
          <w:szCs w:val="32"/>
        </w:rPr>
      </w:pPr>
      <w:r>
        <w:rPr>
          <w:rFonts w:cs="Arial"/>
          <w:b/>
          <w:bCs/>
          <w:i/>
          <w:sz w:val="32"/>
          <w:szCs w:val="32"/>
        </w:rPr>
        <w:t>User’s Manual for Flexible Air quality Scenario Tool-Community Edition (FAST-CE) 3.2</w:t>
      </w:r>
    </w:p>
    <w:p>
      <w:pPr>
        <w:spacing w:before="120" w:after="120"/>
        <w:rPr>
          <w:rFonts w:cs="Arial"/>
          <w:b/>
          <w:bCs/>
          <w:i/>
          <w:sz w:val="32"/>
          <w:szCs w:val="32"/>
        </w:rPr>
      </w:pPr>
    </w:p>
    <w:p>
      <w:pPr>
        <w:rPr>
          <w:i/>
          <w:sz w:val="28"/>
          <w:szCs w:val="28"/>
          <w:lang w:val="zh-CN"/>
        </w:rPr>
      </w:pPr>
    </w:p>
    <w:p>
      <w:pPr>
        <w:rPr>
          <w:rFonts w:cs="Arial"/>
          <w:sz w:val="28"/>
        </w:rPr>
      </w:pPr>
      <w:r>
        <w:rPr>
          <w:rFonts w:cs="Arial"/>
          <w:b/>
          <w:bCs/>
          <w:sz w:val="28"/>
        </w:rPr>
        <w:t>Contract No:</w:t>
      </w:r>
      <w:r>
        <w:rPr>
          <w:rFonts w:cs="Arial"/>
          <w:sz w:val="28"/>
        </w:rPr>
        <w:t xml:space="preserve"> </w:t>
      </w:r>
      <w:r>
        <w:rPr>
          <w:rFonts w:cs="Arial"/>
          <w:sz w:val="28"/>
        </w:rPr>
        <w:tab/>
      </w:r>
      <w:r>
        <w:rPr>
          <w:sz w:val="28"/>
          <w:szCs w:val="28"/>
        </w:rPr>
        <w:t>68HERD21A0002</w:t>
      </w:r>
    </w:p>
    <w:p>
      <w:pPr>
        <w:rPr>
          <w:rFonts w:cs="Arial"/>
          <w:sz w:val="28"/>
        </w:rPr>
      </w:pPr>
      <w:r>
        <w:rPr>
          <w:rFonts w:cs="Arial"/>
          <w:b/>
          <w:bCs/>
          <w:sz w:val="28"/>
        </w:rPr>
        <w:t>Task Order No</w:t>
      </w:r>
      <w:r>
        <w:rPr>
          <w:rFonts w:cs="Arial"/>
          <w:sz w:val="28"/>
        </w:rPr>
        <w:t>:</w:t>
      </w:r>
      <w:r>
        <w:rPr>
          <w:rFonts w:cs="Arial"/>
          <w:sz w:val="28"/>
        </w:rPr>
        <w:tab/>
      </w:r>
      <w:r>
        <w:rPr>
          <w:sz w:val="28"/>
          <w:szCs w:val="28"/>
        </w:rPr>
        <w:t>68HERH21F0334</w:t>
      </w:r>
    </w:p>
    <w:p>
      <w:pPr>
        <w:rPr>
          <w:rFonts w:cs="Arial"/>
          <w:sz w:val="28"/>
        </w:rPr>
      </w:pPr>
      <w:r>
        <w:rPr>
          <w:rFonts w:cs="Arial"/>
          <w:b/>
          <w:bCs/>
          <w:sz w:val="28"/>
        </w:rPr>
        <w:t>Version:</w:t>
      </w:r>
      <w:r>
        <w:rPr>
          <w:rFonts w:cs="Arial"/>
          <w:sz w:val="28"/>
        </w:rPr>
        <w:tab/>
      </w:r>
      <w:r>
        <w:rPr>
          <w:rFonts w:cs="Arial"/>
          <w:sz w:val="28"/>
        </w:rPr>
        <w:t xml:space="preserve">      01</w:t>
      </w:r>
    </w:p>
    <w:p/>
    <w:p>
      <w:pPr>
        <w:rPr>
          <w:sz w:val="28"/>
        </w:rPr>
      </w:pPr>
      <w:r>
        <mc:AlternateContent>
          <mc:Choice Requires="wps">
            <w:drawing>
              <wp:anchor distT="0" distB="0" distL="114300" distR="114300" simplePos="0" relativeHeight="251663360" behindDoc="0" locked="0" layoutInCell="1" allowOverlap="1">
                <wp:simplePos x="0" y="0"/>
                <wp:positionH relativeFrom="column">
                  <wp:posOffset>-38100</wp:posOffset>
                </wp:positionH>
                <wp:positionV relativeFrom="paragraph">
                  <wp:posOffset>88265</wp:posOffset>
                </wp:positionV>
                <wp:extent cx="5972175" cy="0"/>
                <wp:effectExtent l="0" t="19050" r="47625" b="38100"/>
                <wp:wrapNone/>
                <wp:docPr id="25" name="Straight Connector 25"/>
                <wp:cNvGraphicFramePr/>
                <a:graphic xmlns:a="http://schemas.openxmlformats.org/drawingml/2006/main">
                  <a:graphicData uri="http://schemas.microsoft.com/office/word/2010/wordprocessingShape">
                    <wps:wsp>
                      <wps:cNvCnPr>
                        <a:cxnSpLocks noChangeShapeType="1"/>
                      </wps:cNvCnPr>
                      <wps:spPr bwMode="auto">
                        <a:xfrm>
                          <a:off x="0" y="0"/>
                          <a:ext cx="5972175" cy="0"/>
                        </a:xfrm>
                        <a:prstGeom prst="line">
                          <a:avLst/>
                        </a:prstGeom>
                        <a:noFill/>
                        <a:ln w="57150">
                          <a:solidFill>
                            <a:srgbClr val="000000"/>
                          </a:solidFill>
                          <a:round/>
                        </a:ln>
                      </wps:spPr>
                      <wps:bodyPr/>
                    </wps:wsp>
                  </a:graphicData>
                </a:graphic>
              </wp:anchor>
            </w:drawing>
          </mc:Choice>
          <mc:Fallback>
            <w:pict>
              <v:line id="Straight Connector 25" o:spid="_x0000_s1026" o:spt="20" style="position:absolute;left:0pt;margin-left:-3pt;margin-top:6.95pt;height:0pt;width:470.25pt;z-index:251663360;mso-width-relative:page;mso-height-relative:page;" filled="f" stroked="t" coordsize="21600,21600" o:gfxdata="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6k91XtgAAAAIAQAADwAAAAAAAAABACAA&#10;AAAiAAAAZHJzL2Rvd25yZXYueG1sUEsBAhQAFAAAAAgAh07iQAHBsjjUAQAAsAMAAA4AAAAAAAAA&#10;AQAgAAAAJwEAAGRycy9lMm9Eb2MueG1sUEsFBgAAAAAGAAYAWQEAAG0FAAAAAA==&#10;">
                <v:fill on="f" focussize="0,0"/>
                <v:stroke weight="4.5pt" color="#000000" joinstyle="round"/>
                <v:imagedata o:title=""/>
                <o:lock v:ext="edit" aspectratio="f"/>
              </v:line>
            </w:pict>
          </mc:Fallback>
        </mc:AlternateContent>
      </w:r>
    </w:p>
    <w:p/>
    <w:p/>
    <w:p>
      <w:pPr>
        <w:ind w:left="2160" w:hanging="2160"/>
        <w:rPr>
          <w:rFonts w:cs="Arial"/>
          <w:sz w:val="28"/>
          <w:szCs w:val="28"/>
        </w:rPr>
      </w:pPr>
      <w:r>
        <w:rPr>
          <w:rFonts w:cs="Arial"/>
          <w:b/>
          <w:bCs/>
          <w:sz w:val="28"/>
          <w:szCs w:val="28"/>
        </w:rPr>
        <w:t>Prepared for:</w:t>
      </w:r>
      <w:r>
        <w:rPr>
          <w:rFonts w:cs="Arial"/>
          <w:sz w:val="28"/>
          <w:szCs w:val="28"/>
        </w:rPr>
        <w:t xml:space="preserve"> </w:t>
      </w:r>
      <w:r>
        <w:rPr>
          <w:rFonts w:cs="Arial"/>
          <w:sz w:val="28"/>
          <w:szCs w:val="28"/>
        </w:rPr>
        <w:tab/>
      </w:r>
      <w:r>
        <w:rPr>
          <w:rFonts w:cs="Arial"/>
          <w:sz w:val="28"/>
          <w:szCs w:val="28"/>
        </w:rPr>
        <w:t>Carey Jang</w:t>
      </w:r>
    </w:p>
    <w:p>
      <w:pPr>
        <w:ind w:left="2160"/>
        <w:rPr>
          <w:rFonts w:cs="Arial"/>
          <w:sz w:val="28"/>
          <w:szCs w:val="28"/>
        </w:rPr>
      </w:pPr>
      <w:r>
        <w:rPr>
          <w:rFonts w:cs="Arial"/>
          <w:sz w:val="28"/>
          <w:szCs w:val="28"/>
        </w:rPr>
        <w:t>Task Order Contracting Officer’s Representative</w:t>
      </w:r>
    </w:p>
    <w:p>
      <w:pPr>
        <w:ind w:left="2160"/>
        <w:rPr>
          <w:rFonts w:cs="Arial"/>
          <w:sz w:val="28"/>
          <w:szCs w:val="28"/>
        </w:rPr>
      </w:pPr>
      <w:r>
        <w:rPr>
          <w:rFonts w:cs="Arial"/>
          <w:sz w:val="28"/>
          <w:szCs w:val="28"/>
        </w:rPr>
        <w:t>U.S. EPA/OAR/OAQPS/AQAD/AQMG</w:t>
      </w:r>
    </w:p>
    <w:p>
      <w:pPr>
        <w:ind w:left="2160"/>
        <w:rPr>
          <w:rFonts w:cs="Arial"/>
          <w:sz w:val="28"/>
          <w:szCs w:val="28"/>
          <w:highlight w:val="green"/>
        </w:rPr>
      </w:pPr>
      <w:r>
        <w:rPr>
          <w:rFonts w:cs="Arial"/>
          <w:sz w:val="28"/>
          <w:szCs w:val="28"/>
        </w:rPr>
        <w:t>(Mail Code: C439-01)</w:t>
      </w:r>
    </w:p>
    <w:p>
      <w:pPr>
        <w:ind w:left="2160"/>
        <w:rPr>
          <w:rFonts w:cs="Arial"/>
          <w:sz w:val="28"/>
          <w:szCs w:val="28"/>
        </w:rPr>
      </w:pPr>
      <w:r>
        <w:rPr>
          <w:rFonts w:cs="Arial"/>
          <w:sz w:val="28"/>
          <w:szCs w:val="28"/>
        </w:rPr>
        <w:t>109 T.W. Alexander Drive</w:t>
      </w:r>
    </w:p>
    <w:p>
      <w:pPr>
        <w:ind w:left="2160"/>
        <w:rPr>
          <w:rFonts w:cs="Arial"/>
          <w:sz w:val="28"/>
          <w:szCs w:val="28"/>
        </w:rPr>
      </w:pPr>
      <w:r>
        <w:rPr>
          <w:rFonts w:cs="Arial"/>
          <w:sz w:val="28"/>
          <w:szCs w:val="28"/>
        </w:rPr>
        <w:t xml:space="preserve">Research Triangle Park, NC 27711 </w:t>
      </w:r>
    </w:p>
    <w:p>
      <w:pPr>
        <w:rPr>
          <w:rFonts w:cs="Arial"/>
          <w:szCs w:val="28"/>
        </w:rPr>
      </w:pPr>
    </w:p>
    <w:p>
      <w:pPr>
        <w:ind w:left="2160" w:hanging="2160"/>
        <w:rPr>
          <w:rFonts w:cs="Arial"/>
          <w:sz w:val="28"/>
          <w:szCs w:val="28"/>
        </w:rPr>
      </w:pPr>
      <w:r>
        <w:rPr>
          <w:rFonts w:cs="Arial"/>
          <w:b/>
          <w:bCs/>
          <w:sz w:val="28"/>
          <w:szCs w:val="28"/>
        </w:rPr>
        <w:t>Prepared by:</w:t>
      </w:r>
      <w:r>
        <w:rPr>
          <w:rFonts w:cs="Arial"/>
          <w:sz w:val="28"/>
          <w:szCs w:val="28"/>
        </w:rPr>
        <w:t xml:space="preserve"> </w:t>
      </w:r>
      <w:r>
        <w:rPr>
          <w:rFonts w:cs="Arial"/>
          <w:sz w:val="28"/>
          <w:szCs w:val="28"/>
        </w:rPr>
        <w:tab/>
      </w:r>
      <w:r>
        <w:rPr>
          <w:rFonts w:cs="Arial"/>
          <w:sz w:val="28"/>
          <w:szCs w:val="28"/>
        </w:rPr>
        <w:t>Yun Zhu, Shicheng Long</w:t>
      </w:r>
    </w:p>
    <w:p>
      <w:pPr>
        <w:ind w:left="2160" w:hanging="33"/>
        <w:rPr>
          <w:rFonts w:cs="Arial"/>
          <w:sz w:val="28"/>
          <w:szCs w:val="28"/>
        </w:rPr>
      </w:pPr>
      <w:r>
        <w:rPr>
          <w:rFonts w:cs="Arial"/>
          <w:sz w:val="28"/>
          <w:szCs w:val="28"/>
        </w:rPr>
        <w:t>College of Environment &amp; Energy</w:t>
      </w:r>
    </w:p>
    <w:p>
      <w:pPr>
        <w:ind w:left="2160" w:hanging="33"/>
        <w:rPr>
          <w:rFonts w:cs="Arial"/>
          <w:sz w:val="28"/>
          <w:szCs w:val="28"/>
        </w:rPr>
      </w:pPr>
      <w:r>
        <w:rPr>
          <w:rFonts w:cs="Arial"/>
          <w:sz w:val="28"/>
          <w:szCs w:val="28"/>
        </w:rPr>
        <w:t>South China University of Technology</w:t>
      </w:r>
    </w:p>
    <w:p>
      <w:pPr>
        <w:ind w:left="2160" w:hanging="33"/>
        <w:rPr>
          <w:rFonts w:cs="Arial"/>
          <w:sz w:val="28"/>
          <w:szCs w:val="28"/>
        </w:rPr>
      </w:pPr>
      <w:r>
        <w:rPr>
          <w:rFonts w:cs="Arial"/>
          <w:sz w:val="28"/>
          <w:szCs w:val="28"/>
        </w:rPr>
        <w:t>Guangzhou, 510006, Guangdong, China</w:t>
      </w:r>
    </w:p>
    <w:p>
      <w:pPr>
        <w:rPr>
          <w:rFonts w:cs="Arial"/>
          <w:sz w:val="28"/>
          <w:szCs w:val="28"/>
        </w:rPr>
      </w:pPr>
    </w:p>
    <w:p>
      <w:pPr>
        <w:ind w:left="2126" w:leftChars="886"/>
        <w:rPr>
          <w:rFonts w:cs="Arial"/>
          <w:sz w:val="28"/>
          <w:szCs w:val="28"/>
        </w:rPr>
      </w:pPr>
      <w:r>
        <w:rPr>
          <w:rFonts w:cs="Arial"/>
          <w:sz w:val="28"/>
          <w:szCs w:val="28"/>
        </w:rPr>
        <w:t>Sarav Arunachalam</w:t>
      </w:r>
    </w:p>
    <w:p>
      <w:pPr>
        <w:ind w:left="2126" w:leftChars="886"/>
        <w:rPr>
          <w:rFonts w:cs="Arial"/>
          <w:sz w:val="28"/>
          <w:szCs w:val="28"/>
        </w:rPr>
      </w:pPr>
      <w:r>
        <w:rPr>
          <w:rFonts w:cs="Arial"/>
          <w:sz w:val="28"/>
          <w:szCs w:val="28"/>
        </w:rPr>
        <w:t>Institute for the Environment</w:t>
      </w:r>
    </w:p>
    <w:p>
      <w:pPr>
        <w:ind w:left="2126" w:leftChars="886"/>
        <w:rPr>
          <w:rFonts w:cs="Arial"/>
          <w:sz w:val="28"/>
          <w:szCs w:val="28"/>
        </w:rPr>
      </w:pPr>
      <w:r>
        <w:rPr>
          <w:rFonts w:cs="Arial"/>
          <w:sz w:val="28"/>
          <w:szCs w:val="28"/>
        </w:rPr>
        <w:t>The University of North Carolina at Chapel Hill</w:t>
      </w:r>
    </w:p>
    <w:p>
      <w:pPr>
        <w:rPr>
          <w:rFonts w:cs="Arial"/>
          <w:b/>
          <w:bCs/>
          <w:sz w:val="28"/>
          <w:szCs w:val="28"/>
        </w:rPr>
      </w:pPr>
    </w:p>
    <w:p>
      <w:pPr>
        <w:rPr>
          <w:rFonts w:cs="Arial"/>
          <w:bCs/>
          <w:sz w:val="28"/>
          <w:szCs w:val="28"/>
        </w:rPr>
        <w:sectPr>
          <w:footerReference r:id="rId6" w:type="first"/>
          <w:headerReference r:id="rId3" w:type="default"/>
          <w:footerReference r:id="rId4" w:type="default"/>
          <w:footerReference r:id="rId5" w:type="even"/>
          <w:pgSz w:w="11906" w:h="16838"/>
          <w:pgMar w:top="1440" w:right="1800" w:bottom="1440" w:left="1800" w:header="708" w:footer="708" w:gutter="0"/>
          <w:pgNumType w:fmt="lowerRoman" w:start="1"/>
          <w:cols w:space="708" w:num="1"/>
          <w:docGrid w:linePitch="360" w:charSpace="0"/>
        </w:sectPr>
      </w:pPr>
      <w:r>
        <w:rPr>
          <w:rFonts w:cs="Arial"/>
          <w:b/>
          <w:bCs/>
          <w:sz w:val="28"/>
          <w:szCs w:val="28"/>
        </w:rPr>
        <w:t>Date:</w:t>
      </w:r>
      <w:r>
        <w:rPr>
          <w:rFonts w:cs="Arial"/>
          <w:sz w:val="28"/>
          <w:szCs w:val="28"/>
        </w:rPr>
        <w:t xml:space="preserve"> </w:t>
      </w:r>
      <w:r>
        <w:rPr>
          <w:rFonts w:cs="Arial"/>
          <w:sz w:val="28"/>
          <w:szCs w:val="28"/>
        </w:rPr>
        <w:tab/>
      </w:r>
      <w:r>
        <w:rPr>
          <w:rFonts w:cs="Arial"/>
          <w:sz w:val="28"/>
          <w:szCs w:val="28"/>
        </w:rPr>
        <w:tab/>
      </w:r>
      <w:r>
        <w:rPr>
          <w:rFonts w:cs="Arial"/>
          <w:sz w:val="28"/>
          <w:szCs w:val="28"/>
        </w:rPr>
        <w:tab/>
      </w:r>
      <w:r>
        <w:rPr>
          <w:rFonts w:cs="Arial"/>
          <w:sz w:val="28"/>
          <w:szCs w:val="28"/>
        </w:rPr>
        <w:tab/>
      </w:r>
      <w:r>
        <w:rPr>
          <w:rFonts w:cs="Arial"/>
          <w:bCs/>
          <w:sz w:val="28"/>
          <w:szCs w:val="28"/>
        </w:rPr>
        <w:t>D</w:t>
      </w:r>
      <w:r>
        <w:rPr>
          <w:rFonts w:hint="eastAsia" w:cs="Arial"/>
          <w:bCs/>
          <w:sz w:val="28"/>
          <w:szCs w:val="28"/>
        </w:rPr>
        <w:t>ece</w:t>
      </w:r>
      <w:r>
        <w:rPr>
          <w:rFonts w:cs="Arial"/>
          <w:bCs/>
          <w:sz w:val="28"/>
          <w:szCs w:val="28"/>
        </w:rPr>
        <w:t>mber 31, 2022</w:t>
      </w:r>
    </w:p>
    <w:p>
      <w:pPr>
        <w:spacing w:before="240" w:after="240" w:line="360" w:lineRule="auto"/>
        <w:rPr>
          <w:b/>
          <w:bCs/>
          <w:sz w:val="40"/>
          <w:szCs w:val="40"/>
        </w:rPr>
      </w:pPr>
      <w:r>
        <w:rPr>
          <w:b/>
          <w:bCs/>
          <w:sz w:val="40"/>
          <w:szCs w:val="40"/>
        </w:rPr>
        <w:t>Acknowledgements</w:t>
      </w:r>
      <w:bookmarkEnd w:id="0"/>
    </w:p>
    <w:p>
      <w:r>
        <w:tab/>
      </w:r>
      <w:r>
        <w:t xml:space="preserve">In cooperation with the U.S. EPA, the Institute for the Environment at the University of North Carolina at Chapel Hill (UNC-IE) along with the South China University of Technology (SCUT) developed the FAST-CE software. This project was funded by the U.S. EPA under contract </w:t>
      </w:r>
      <w:r>
        <w:rPr>
          <w:color w:val="000000" w:themeColor="text1"/>
          <w14:textFill>
            <w14:solidFill>
              <w14:schemeClr w14:val="tx1"/>
            </w14:solidFill>
          </w14:textFill>
        </w:rPr>
        <w:t>68HERH21F0334</w:t>
      </w:r>
      <w:r>
        <w:t xml:space="preserve"> to UNC-IE.</w:t>
      </w:r>
    </w:p>
    <w:p>
      <w:pPr>
        <w:spacing w:line="360" w:lineRule="auto"/>
      </w:pPr>
    </w:p>
    <w:p>
      <w:pPr>
        <w:spacing w:line="360" w:lineRule="auto"/>
      </w:pPr>
      <w:r>
        <w:br w:type="page"/>
      </w:r>
    </w:p>
    <w:p>
      <w:pPr>
        <w:spacing w:before="240" w:after="240" w:line="360" w:lineRule="auto"/>
        <w:jc w:val="center"/>
        <w:rPr>
          <w:b/>
          <w:bCs/>
          <w:color w:val="000000" w:themeColor="text1"/>
          <w:sz w:val="40"/>
          <w:szCs w:val="40"/>
          <w14:textFill>
            <w14:solidFill>
              <w14:schemeClr w14:val="tx1"/>
            </w14:solidFill>
          </w14:textFill>
        </w:rPr>
      </w:pPr>
      <w:r>
        <w:rPr>
          <w:b/>
          <w:bCs/>
          <w:color w:val="000000" w:themeColor="text1"/>
          <w:sz w:val="40"/>
          <w:szCs w:val="40"/>
          <w14:textFill>
            <w14:solidFill>
              <w14:schemeClr w14:val="tx1"/>
            </w14:solidFill>
          </w14:textFill>
        </w:rPr>
        <w:t>Table of Contents</w:t>
      </w:r>
    </w:p>
    <w:p>
      <w:pPr>
        <w:pStyle w:val="19"/>
        <w:rPr>
          <w:rFonts w:asciiTheme="minorHAnsi" w:hAnsiTheme="minorHAnsi" w:eastAsiaTheme="minorEastAsia" w:cstheme="minorBidi"/>
          <w:kern w:val="2"/>
          <w:sz w:val="21"/>
        </w:rPr>
      </w:pPr>
      <w:r>
        <w:rPr>
          <w:bCs/>
        </w:rPr>
        <w:fldChar w:fldCharType="begin"/>
      </w:r>
      <w:r>
        <w:rPr>
          <w:bCs/>
        </w:rPr>
        <w:instrText xml:space="preserve"> TOC \o "1-3" \h \z \u </w:instrText>
      </w:r>
      <w:r>
        <w:rPr>
          <w:bCs/>
        </w:rPr>
        <w:fldChar w:fldCharType="separate"/>
      </w:r>
      <w:r>
        <w:fldChar w:fldCharType="begin"/>
      </w:r>
      <w:r>
        <w:instrText xml:space="preserve"> HYPERLINK \l "_Toc122982039" </w:instrText>
      </w:r>
      <w:r>
        <w:fldChar w:fldCharType="separate"/>
      </w:r>
      <w:r>
        <w:rPr>
          <w:rStyle w:val="30"/>
        </w:rPr>
        <w:t>1</w:t>
      </w:r>
      <w:r>
        <w:rPr>
          <w:rFonts w:asciiTheme="minorHAnsi" w:hAnsiTheme="minorHAnsi" w:eastAsiaTheme="minorEastAsia" w:cstheme="minorBidi"/>
          <w:kern w:val="2"/>
          <w:sz w:val="21"/>
        </w:rPr>
        <w:tab/>
      </w:r>
      <w:r>
        <w:rPr>
          <w:rStyle w:val="30"/>
        </w:rPr>
        <w:t>Introduction</w:t>
      </w:r>
      <w:r>
        <w:tab/>
      </w:r>
      <w:r>
        <w:fldChar w:fldCharType="begin"/>
      </w:r>
      <w:r>
        <w:instrText xml:space="preserve"> PAGEREF _Toc122982039 \h </w:instrText>
      </w:r>
      <w:r>
        <w:fldChar w:fldCharType="separate"/>
      </w:r>
      <w:r>
        <w:t>2</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"_Toc122982040" </w:instrText>
      </w:r>
      <w:r>
        <w:fldChar w:fldCharType="separate"/>
      </w:r>
      <w:r>
        <w:rPr>
          <w:rStyle w:val="30"/>
        </w:rPr>
        <w:t>1.1</w:t>
      </w:r>
      <w:r>
        <w:rPr>
          <w:rFonts w:asciiTheme="minorHAnsi" w:hAnsiTheme="minorHAnsi" w:eastAsiaTheme="minorEastAsia" w:cstheme="minorBidi"/>
          <w:kern w:val="2"/>
          <w:sz w:val="21"/>
        </w:rPr>
        <w:tab/>
      </w:r>
      <w:r>
        <w:rPr>
          <w:rStyle w:val="30"/>
        </w:rPr>
        <w:t>Evaluation Principle</w:t>
      </w:r>
      <w:r>
        <w:tab/>
      </w:r>
      <w:r>
        <w:fldChar w:fldCharType="begin"/>
      </w:r>
      <w:r>
        <w:instrText xml:space="preserve"> PAGEREF _Toc122982040 \h </w:instrText>
      </w:r>
      <w:r>
        <w:fldChar w:fldCharType="separate"/>
      </w:r>
      <w:r>
        <w:t>2</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"_Toc122982041" </w:instrText>
      </w:r>
      <w:r>
        <w:fldChar w:fldCharType="separate"/>
      </w:r>
      <w:r>
        <w:rPr>
          <w:rStyle w:val="30"/>
        </w:rPr>
        <w:t>1.2</w:t>
      </w:r>
      <w:r>
        <w:rPr>
          <w:rFonts w:asciiTheme="minorHAnsi" w:hAnsiTheme="minorHAnsi" w:eastAsiaTheme="minorEastAsia" w:cstheme="minorBidi"/>
          <w:kern w:val="2"/>
          <w:sz w:val="21"/>
        </w:rPr>
        <w:tab/>
      </w:r>
      <w:r>
        <w:rPr>
          <w:rStyle w:val="30"/>
        </w:rPr>
        <w:t>Computer Requirements</w:t>
      </w:r>
      <w:r>
        <w:tab/>
      </w:r>
      <w:r>
        <w:fldChar w:fldCharType="begin"/>
      </w:r>
      <w:r>
        <w:instrText xml:space="preserve"> PAGEREF _Toc122982041 \h </w:instrText>
      </w:r>
      <w:r>
        <w:fldChar w:fldCharType="separate"/>
      </w:r>
      <w:r>
        <w:t>4</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"_Toc122982042" </w:instrText>
      </w:r>
      <w:r>
        <w:fldChar w:fldCharType="separate"/>
      </w:r>
      <w:r>
        <w:rPr>
          <w:rStyle w:val="30"/>
        </w:rPr>
        <w:t>1.3</w:t>
      </w:r>
      <w:r>
        <w:rPr>
          <w:rFonts w:asciiTheme="minorHAnsi" w:hAnsiTheme="minorHAnsi" w:eastAsiaTheme="minorEastAsia" w:cstheme="minorBidi"/>
          <w:kern w:val="2"/>
          <w:sz w:val="21"/>
        </w:rPr>
        <w:tab/>
      </w:r>
      <w:r>
        <w:rPr>
          <w:rStyle w:val="30"/>
        </w:rPr>
        <w:t>Installing/Uninstalling FAST-CE</w:t>
      </w:r>
      <w:r>
        <w:tab/>
      </w:r>
      <w:r>
        <w:fldChar w:fldCharType="begin"/>
      </w:r>
      <w:r>
        <w:instrText xml:space="preserve"> PAGEREF _Toc122982042 \h </w:instrText>
      </w:r>
      <w:r>
        <w:fldChar w:fldCharType="separate"/>
      </w:r>
      <w:r>
        <w:t>4</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"_Toc122982043" </w:instrText>
      </w:r>
      <w:r>
        <w:fldChar w:fldCharType="separate"/>
      </w:r>
      <w:r>
        <w:rPr>
          <w:rStyle w:val="30"/>
          <w:lang w:bidi="zh-CN"/>
        </w:rPr>
        <w:t>1.3.1</w:t>
      </w:r>
      <w:r>
        <w:rPr>
          <w:rFonts w:asciiTheme="minorHAnsi" w:hAnsiTheme="minorHAnsi" w:eastAsiaTheme="minorEastAsia" w:cstheme="minorBidi"/>
          <w:kern w:val="2"/>
          <w:sz w:val="21"/>
        </w:rPr>
        <w:tab/>
      </w:r>
      <w:r>
        <w:rPr>
          <w:rStyle w:val="30"/>
        </w:rPr>
        <w:t>Installing FAST-CE</w:t>
      </w:r>
      <w:r>
        <w:tab/>
      </w:r>
      <w:r>
        <w:fldChar w:fldCharType="begin"/>
      </w:r>
      <w:r>
        <w:instrText xml:space="preserve"> PAGEREF _Toc122982043 \h </w:instrText>
      </w:r>
      <w:r>
        <w:fldChar w:fldCharType="separate"/>
      </w:r>
      <w:r>
        <w:t>4</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"_Toc122982044" </w:instrText>
      </w:r>
      <w:r>
        <w:fldChar w:fldCharType="separate"/>
      </w:r>
      <w:r>
        <w:rPr>
          <w:rStyle w:val="30"/>
          <w:lang w:bidi="zh-CN"/>
        </w:rPr>
        <w:t>1.3.2</w:t>
      </w:r>
      <w:r>
        <w:rPr>
          <w:rFonts w:asciiTheme="minorHAnsi" w:hAnsiTheme="minorHAnsi" w:eastAsiaTheme="minorEastAsia" w:cstheme="minorBidi"/>
          <w:kern w:val="2"/>
          <w:sz w:val="21"/>
        </w:rPr>
        <w:tab/>
      </w:r>
      <w:r>
        <w:rPr>
          <w:rStyle w:val="30"/>
        </w:rPr>
        <w:t>Installing FAST-CE Data Installer</w:t>
      </w:r>
      <w:r>
        <w:tab/>
      </w:r>
      <w:r>
        <w:fldChar w:fldCharType="begin"/>
      </w:r>
      <w:r>
        <w:instrText xml:space="preserve"> PAGEREF _Toc122982044 \h </w:instrText>
      </w:r>
      <w:r>
        <w:fldChar w:fldCharType="separate"/>
      </w:r>
      <w:r>
        <w:t>7</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"_Toc122982045" </w:instrText>
      </w:r>
      <w:r>
        <w:fldChar w:fldCharType="separate"/>
      </w:r>
      <w:r>
        <w:rPr>
          <w:rStyle w:val="30"/>
          <w:lang w:bidi="zh-CN"/>
        </w:rPr>
        <w:t>1.3.3</w:t>
      </w:r>
      <w:r>
        <w:rPr>
          <w:rFonts w:asciiTheme="minorHAnsi" w:hAnsiTheme="minorHAnsi" w:eastAsiaTheme="minorEastAsia" w:cstheme="minorBidi"/>
          <w:kern w:val="2"/>
          <w:sz w:val="21"/>
        </w:rPr>
        <w:tab/>
      </w:r>
      <w:r>
        <w:rPr>
          <w:rStyle w:val="30"/>
        </w:rPr>
        <w:t>Uninstalling FAST-CE</w:t>
      </w:r>
      <w:r>
        <w:tab/>
      </w:r>
      <w:r>
        <w:fldChar w:fldCharType="begin"/>
      </w:r>
      <w:r>
        <w:instrText xml:space="preserve"> PAGEREF _Toc122982045 \h </w:instrText>
      </w:r>
      <w:r>
        <w:fldChar w:fldCharType="separate"/>
      </w:r>
      <w:r>
        <w:t>8</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"_Toc122982046" </w:instrText>
      </w:r>
      <w:r>
        <w:fldChar w:fldCharType="separate"/>
      </w:r>
      <w:r>
        <w:rPr>
          <w:rStyle w:val="30"/>
        </w:rPr>
        <w:t>1.4</w:t>
      </w:r>
      <w:r>
        <w:rPr>
          <w:rFonts w:asciiTheme="minorHAnsi" w:hAnsiTheme="minorHAnsi" w:eastAsiaTheme="minorEastAsia" w:cstheme="minorBidi"/>
          <w:kern w:val="2"/>
          <w:sz w:val="21"/>
        </w:rPr>
        <w:tab/>
      </w:r>
      <w:r>
        <w:rPr>
          <w:rStyle w:val="30"/>
        </w:rPr>
        <w:t>Contacts for Comments and Questions</w:t>
      </w:r>
      <w:r>
        <w:tab/>
      </w:r>
      <w:r>
        <w:fldChar w:fldCharType="begin"/>
      </w:r>
      <w:r>
        <w:instrText xml:space="preserve"> PAGEREF _Toc122982046 \h </w:instrText>
      </w:r>
      <w:r>
        <w:fldChar w:fldCharType="separate"/>
      </w:r>
      <w:r>
        <w:t>9</w:t>
      </w:r>
      <w:r>
        <w:fldChar w:fldCharType="end"/>
      </w:r>
      <w:r>
        <w:fldChar w:fldCharType="end"/>
      </w:r>
    </w:p>
    <w:p>
      <w:pPr>
        <w:pStyle w:val="19"/>
        <w:rPr>
          <w:rFonts w:asciiTheme="minorHAnsi" w:hAnsiTheme="minorHAnsi" w:eastAsiaTheme="minorEastAsia" w:cstheme="minorBidi"/>
          <w:kern w:val="2"/>
          <w:sz w:val="21"/>
        </w:rPr>
      </w:pPr>
      <w:r>
        <w:fldChar w:fldCharType="begin"/>
      </w:r>
      <w:r>
        <w:instrText xml:space="preserve"> HYPERLINK \l "_Toc122982047" </w:instrText>
      </w:r>
      <w:r>
        <w:fldChar w:fldCharType="separate"/>
      </w:r>
      <w:r>
        <w:rPr>
          <w:rStyle w:val="30"/>
        </w:rPr>
        <w:t>2</w:t>
      </w:r>
      <w:r>
        <w:rPr>
          <w:rFonts w:asciiTheme="minorHAnsi" w:hAnsiTheme="minorHAnsi" w:eastAsiaTheme="minorEastAsia" w:cstheme="minorBidi"/>
          <w:kern w:val="2"/>
          <w:sz w:val="21"/>
        </w:rPr>
        <w:tab/>
      </w:r>
      <w:r>
        <w:rPr>
          <w:rStyle w:val="30"/>
        </w:rPr>
        <w:t>Terminology and File Types</w:t>
      </w:r>
      <w:r>
        <w:tab/>
      </w:r>
      <w:r>
        <w:fldChar w:fldCharType="begin"/>
      </w:r>
      <w:r>
        <w:instrText xml:space="preserve"> PAGEREF _Toc122982047 \h </w:instrText>
      </w:r>
      <w:r>
        <w:fldChar w:fldCharType="separate"/>
      </w:r>
      <w:r>
        <w:t>9</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"_Toc122982048" </w:instrText>
      </w:r>
      <w:r>
        <w:fldChar w:fldCharType="separate"/>
      </w:r>
      <w:r>
        <w:rPr>
          <w:rStyle w:val="30"/>
        </w:rPr>
        <w:t>2.1</w:t>
      </w:r>
      <w:r>
        <w:rPr>
          <w:rFonts w:asciiTheme="minorHAnsi" w:hAnsiTheme="minorHAnsi" w:eastAsiaTheme="minorEastAsia" w:cstheme="minorBidi"/>
          <w:kern w:val="2"/>
          <w:sz w:val="21"/>
        </w:rPr>
        <w:tab/>
      </w:r>
      <w:r>
        <w:rPr>
          <w:rStyle w:val="30"/>
        </w:rPr>
        <w:t>Common Terms</w:t>
      </w:r>
      <w:r>
        <w:tab/>
      </w:r>
      <w:r>
        <w:fldChar w:fldCharType="begin"/>
      </w:r>
      <w:r>
        <w:instrText xml:space="preserve"> PAGEREF _Toc122982048 \h </w:instrText>
      </w:r>
      <w:r>
        <w:fldChar w:fldCharType="separate"/>
      </w:r>
      <w:r>
        <w:t>9</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"_Toc122982049" </w:instrText>
      </w:r>
      <w:r>
        <w:fldChar w:fldCharType="separate"/>
      </w:r>
      <w:r>
        <w:rPr>
          <w:rStyle w:val="30"/>
        </w:rPr>
        <w:t>2.2</w:t>
      </w:r>
      <w:r>
        <w:rPr>
          <w:rFonts w:asciiTheme="minorHAnsi" w:hAnsiTheme="minorHAnsi" w:eastAsiaTheme="minorEastAsia" w:cstheme="minorBidi"/>
          <w:kern w:val="2"/>
          <w:sz w:val="21"/>
        </w:rPr>
        <w:tab/>
      </w:r>
      <w:r>
        <w:rPr>
          <w:rStyle w:val="30"/>
        </w:rPr>
        <w:t>File Types</w:t>
      </w:r>
      <w:r>
        <w:tab/>
      </w:r>
      <w:r>
        <w:fldChar w:fldCharType="begin"/>
      </w:r>
      <w:r>
        <w:instrText xml:space="preserve"> PAGEREF _Toc122982049 \h </w:instrText>
      </w:r>
      <w:r>
        <w:fldChar w:fldCharType="separate"/>
      </w:r>
      <w:r>
        <w:t>10</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"_Toc122982050" </w:instrText>
      </w:r>
      <w:r>
        <w:fldChar w:fldCharType="separate"/>
      </w:r>
      <w:r>
        <w:rPr>
          <w:rStyle w:val="30"/>
          <w:lang w:bidi="zh-CN"/>
        </w:rPr>
        <w:t>2.2.1</w:t>
      </w:r>
      <w:r>
        <w:rPr>
          <w:rFonts w:asciiTheme="minorHAnsi" w:hAnsiTheme="minorHAnsi" w:eastAsiaTheme="minorEastAsia" w:cstheme="minorBidi"/>
          <w:kern w:val="2"/>
          <w:sz w:val="21"/>
        </w:rPr>
        <w:tab/>
      </w:r>
      <w:r>
        <w:rPr>
          <w:rStyle w:val="30"/>
        </w:rPr>
        <w:t>File Types for OSAT/PSAT/APCA/ISAM method</w:t>
      </w:r>
      <w:r>
        <w:tab/>
      </w:r>
      <w:r>
        <w:fldChar w:fldCharType="begin"/>
      </w:r>
      <w:r>
        <w:instrText xml:space="preserve"> PAGEREF _Toc122982050 \h </w:instrText>
      </w:r>
      <w:r>
        <w:fldChar w:fldCharType="separate"/>
      </w:r>
      <w:r>
        <w:t>10</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"_Toc122982051" </w:instrText>
      </w:r>
      <w:r>
        <w:fldChar w:fldCharType="separate"/>
      </w:r>
      <w:r>
        <w:rPr>
          <w:rStyle w:val="30"/>
          <w:lang w:bidi="zh-CN"/>
        </w:rPr>
        <w:t>2.2.2</w:t>
      </w:r>
      <w:r>
        <w:rPr>
          <w:rFonts w:asciiTheme="minorHAnsi" w:hAnsiTheme="minorHAnsi" w:eastAsiaTheme="minorEastAsia" w:cstheme="minorBidi"/>
          <w:kern w:val="2"/>
          <w:sz w:val="21"/>
        </w:rPr>
        <w:tab/>
      </w:r>
      <w:r>
        <w:rPr>
          <w:rStyle w:val="30"/>
        </w:rPr>
        <w:t>File Types for RSM method</w:t>
      </w:r>
      <w:r>
        <w:tab/>
      </w:r>
      <w:r>
        <w:fldChar w:fldCharType="begin"/>
      </w:r>
      <w:r>
        <w:instrText xml:space="preserve"> PAGEREF _Toc122982051 \h </w:instrText>
      </w:r>
      <w:r>
        <w:fldChar w:fldCharType="separate"/>
      </w:r>
      <w:r>
        <w:t>12</w:t>
      </w:r>
      <w:r>
        <w:fldChar w:fldCharType="end"/>
      </w:r>
      <w:r>
        <w:fldChar w:fldCharType="end"/>
      </w:r>
    </w:p>
    <w:p>
      <w:pPr>
        <w:pStyle w:val="19"/>
        <w:rPr>
          <w:rFonts w:asciiTheme="minorHAnsi" w:hAnsiTheme="minorHAnsi" w:eastAsiaTheme="minorEastAsia" w:cstheme="minorBidi"/>
          <w:kern w:val="2"/>
          <w:sz w:val="21"/>
        </w:rPr>
      </w:pPr>
      <w:r>
        <w:fldChar w:fldCharType="begin"/>
      </w:r>
      <w:r>
        <w:instrText xml:space="preserve"> HYPERLINK \l "_Toc122982052" </w:instrText>
      </w:r>
      <w:r>
        <w:fldChar w:fldCharType="separate"/>
      </w:r>
      <w:r>
        <w:rPr>
          <w:rStyle w:val="30"/>
        </w:rPr>
        <w:t>3</w:t>
      </w:r>
      <w:r>
        <w:rPr>
          <w:rFonts w:asciiTheme="minorHAnsi" w:hAnsiTheme="minorHAnsi" w:eastAsiaTheme="minorEastAsia" w:cstheme="minorBidi"/>
          <w:kern w:val="2"/>
          <w:sz w:val="21"/>
        </w:rPr>
        <w:tab/>
      </w:r>
      <w:r>
        <w:rPr>
          <w:rStyle w:val="30"/>
        </w:rPr>
        <w:t>Quick Start</w:t>
      </w:r>
      <w:r>
        <w:tab/>
      </w:r>
      <w:r>
        <w:fldChar w:fldCharType="begin"/>
      </w:r>
      <w:r>
        <w:instrText xml:space="preserve"> PAGEREF _Toc122982052 \h </w:instrText>
      </w:r>
      <w:r>
        <w:fldChar w:fldCharType="separate"/>
      </w:r>
      <w:r>
        <w:t>13</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"_Toc122982053" </w:instrText>
      </w:r>
      <w:r>
        <w:fldChar w:fldCharType="separate"/>
      </w:r>
      <w:r>
        <w:rPr>
          <w:rStyle w:val="30"/>
        </w:rPr>
        <w:t>3.1</w:t>
      </w:r>
      <w:r>
        <w:rPr>
          <w:rFonts w:asciiTheme="minorHAnsi" w:hAnsiTheme="minorHAnsi" w:eastAsiaTheme="minorEastAsia" w:cstheme="minorBidi"/>
          <w:kern w:val="2"/>
          <w:sz w:val="21"/>
        </w:rPr>
        <w:tab/>
      </w:r>
      <w:r>
        <w:rPr>
          <w:rStyle w:val="30"/>
        </w:rPr>
        <w:t>Load a Previous Project</w:t>
      </w:r>
      <w:r>
        <w:tab/>
      </w:r>
      <w:r>
        <w:fldChar w:fldCharType="begin"/>
      </w:r>
      <w:r>
        <w:instrText xml:space="preserve"> PAGEREF _Toc122982053 \h </w:instrText>
      </w:r>
      <w:r>
        <w:fldChar w:fldCharType="separate"/>
      </w:r>
      <w:r>
        <w:t>13</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"_Toc122982054" </w:instrText>
      </w:r>
      <w:r>
        <w:fldChar w:fldCharType="separate"/>
      </w:r>
      <w:r>
        <w:rPr>
          <w:rStyle w:val="30"/>
        </w:rPr>
        <w:t>3.2</w:t>
      </w:r>
      <w:r>
        <w:rPr>
          <w:rFonts w:asciiTheme="minorHAnsi" w:hAnsiTheme="minorHAnsi" w:eastAsiaTheme="minorEastAsia" w:cstheme="minorBidi"/>
          <w:kern w:val="2"/>
          <w:sz w:val="21"/>
        </w:rPr>
        <w:tab/>
      </w:r>
      <w:r>
        <w:rPr>
          <w:rStyle w:val="30"/>
        </w:rPr>
        <w:t>PM Analysis Quick Start</w:t>
      </w:r>
      <w:r>
        <w:tab/>
      </w:r>
      <w:r>
        <w:fldChar w:fldCharType="begin"/>
      </w:r>
      <w:r>
        <w:instrText xml:space="preserve"> PAGEREF _Toc122982054 \h </w:instrText>
      </w:r>
      <w:r>
        <w:fldChar w:fldCharType="separate"/>
      </w:r>
      <w:r>
        <w:t>13</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"_Toc122982055" </w:instrText>
      </w:r>
      <w:r>
        <w:fldChar w:fldCharType="separate"/>
      </w:r>
      <w:r>
        <w:rPr>
          <w:rStyle w:val="30"/>
        </w:rPr>
        <w:t>3.3</w:t>
      </w:r>
      <w:r>
        <w:rPr>
          <w:rFonts w:asciiTheme="minorHAnsi" w:hAnsiTheme="minorHAnsi" w:eastAsiaTheme="minorEastAsia" w:cstheme="minorBidi"/>
          <w:kern w:val="2"/>
          <w:sz w:val="21"/>
        </w:rPr>
        <w:tab/>
      </w:r>
      <w:r>
        <w:rPr>
          <w:rStyle w:val="30"/>
        </w:rPr>
        <w:t>Ozone Analysis Quick Start</w:t>
      </w:r>
      <w:r>
        <w:tab/>
      </w:r>
      <w:r>
        <w:fldChar w:fldCharType="begin"/>
      </w:r>
      <w:r>
        <w:instrText xml:space="preserve"> PAGEREF _Toc122982055 \h </w:instrText>
      </w:r>
      <w:r>
        <w:fldChar w:fldCharType="separate"/>
      </w:r>
      <w:r>
        <w:t>16</w:t>
      </w:r>
      <w:r>
        <w:fldChar w:fldCharType="end"/>
      </w:r>
      <w:r>
        <w:fldChar w:fldCharType="end"/>
      </w:r>
    </w:p>
    <w:p>
      <w:pPr>
        <w:pStyle w:val="19"/>
        <w:rPr>
          <w:rFonts w:asciiTheme="minorHAnsi" w:hAnsiTheme="minorHAnsi" w:eastAsiaTheme="minorEastAsia" w:cstheme="minorBidi"/>
          <w:kern w:val="2"/>
          <w:sz w:val="21"/>
        </w:rPr>
      </w:pPr>
      <w:r>
        <w:fldChar w:fldCharType="begin"/>
      </w:r>
      <w:r>
        <w:instrText xml:space="preserve"> HYPERLINK \l "_Toc122982056" </w:instrText>
      </w:r>
      <w:r>
        <w:fldChar w:fldCharType="separate"/>
      </w:r>
      <w:r>
        <w:rPr>
          <w:rStyle w:val="30"/>
        </w:rPr>
        <w:t>4</w:t>
      </w:r>
      <w:r>
        <w:rPr>
          <w:rFonts w:asciiTheme="minorHAnsi" w:hAnsiTheme="minorHAnsi" w:eastAsiaTheme="minorEastAsia" w:cstheme="minorBidi"/>
          <w:kern w:val="2"/>
          <w:sz w:val="21"/>
        </w:rPr>
        <w:tab/>
      </w:r>
      <w:r>
        <w:rPr>
          <w:rStyle w:val="30"/>
        </w:rPr>
        <w:t>Main Interface</w:t>
      </w:r>
      <w:r>
        <w:tab/>
      </w:r>
      <w:r>
        <w:fldChar w:fldCharType="begin"/>
      </w:r>
      <w:r>
        <w:instrText xml:space="preserve"> PAGEREF _Toc122982056 \h </w:instrText>
      </w:r>
      <w:r>
        <w:fldChar w:fldCharType="separate"/>
      </w:r>
      <w:r>
        <w:t>18</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"_Toc122982057" </w:instrText>
      </w:r>
      <w:r>
        <w:fldChar w:fldCharType="separate"/>
      </w:r>
      <w:r>
        <w:rPr>
          <w:rStyle w:val="30"/>
        </w:rPr>
        <w:t>4.1</w:t>
      </w:r>
      <w:r>
        <w:rPr>
          <w:rFonts w:asciiTheme="minorHAnsi" w:hAnsiTheme="minorHAnsi" w:eastAsiaTheme="minorEastAsia" w:cstheme="minorBidi"/>
          <w:kern w:val="2"/>
          <w:sz w:val="21"/>
        </w:rPr>
        <w:tab/>
      </w:r>
      <w:r>
        <w:rPr>
          <w:rStyle w:val="30"/>
        </w:rPr>
        <w:t>Meta Data Function</w:t>
      </w:r>
      <w:r>
        <w:tab/>
      </w:r>
      <w:r>
        <w:fldChar w:fldCharType="begin"/>
      </w:r>
      <w:r>
        <w:instrText xml:space="preserve"> PAGEREF _Toc122982057 \h </w:instrText>
      </w:r>
      <w:r>
        <w:fldChar w:fldCharType="separate"/>
      </w:r>
      <w:r>
        <w:t>21</w:t>
      </w:r>
      <w:r>
        <w:fldChar w:fldCharType="end"/>
      </w:r>
      <w:r>
        <w:fldChar w:fldCharType="end"/>
      </w:r>
    </w:p>
    <w:p>
      <w:pPr>
        <w:pStyle w:val="19"/>
        <w:rPr>
          <w:rFonts w:asciiTheme="minorHAnsi" w:hAnsiTheme="minorHAnsi" w:eastAsiaTheme="minorEastAsia" w:cstheme="minorBidi"/>
          <w:kern w:val="2"/>
          <w:sz w:val="21"/>
        </w:rPr>
      </w:pPr>
      <w:r>
        <w:fldChar w:fldCharType="begin"/>
      </w:r>
      <w:r>
        <w:instrText xml:space="preserve"> HYPERLINK \l "_Toc122982058" </w:instrText>
      </w:r>
      <w:r>
        <w:fldChar w:fldCharType="separate"/>
      </w:r>
      <w:r>
        <w:rPr>
          <w:rStyle w:val="30"/>
        </w:rPr>
        <w:t>5</w:t>
      </w:r>
      <w:r>
        <w:rPr>
          <w:rFonts w:asciiTheme="minorHAnsi" w:hAnsiTheme="minorHAnsi" w:eastAsiaTheme="minorEastAsia" w:cstheme="minorBidi"/>
          <w:kern w:val="2"/>
          <w:sz w:val="21"/>
        </w:rPr>
        <w:tab/>
      </w:r>
      <w:r>
        <w:rPr>
          <w:rStyle w:val="30"/>
        </w:rPr>
        <w:t>Run FAST-CE</w:t>
      </w:r>
      <w:r>
        <w:tab/>
      </w:r>
      <w:r>
        <w:fldChar w:fldCharType="begin"/>
      </w:r>
      <w:r>
        <w:instrText xml:space="preserve"> PAGEREF _Toc122982058 \h </w:instrText>
      </w:r>
      <w:r>
        <w:fldChar w:fldCharType="separate"/>
      </w:r>
      <w:r>
        <w:t>22</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"_Toc122982059" </w:instrText>
      </w:r>
      <w:r>
        <w:fldChar w:fldCharType="separate"/>
      </w:r>
      <w:r>
        <w:rPr>
          <w:rStyle w:val="30"/>
        </w:rPr>
        <w:t>5.1</w:t>
      </w:r>
      <w:r>
        <w:rPr>
          <w:rFonts w:asciiTheme="minorHAnsi" w:hAnsiTheme="minorHAnsi" w:eastAsiaTheme="minorEastAsia" w:cstheme="minorBidi"/>
          <w:kern w:val="2"/>
          <w:sz w:val="21"/>
        </w:rPr>
        <w:tab/>
      </w:r>
      <w:r>
        <w:rPr>
          <w:rStyle w:val="30"/>
        </w:rPr>
        <w:t>Source Contribution Input Option</w:t>
      </w:r>
      <w:r>
        <w:tab/>
      </w:r>
      <w:r>
        <w:fldChar w:fldCharType="begin"/>
      </w:r>
      <w:r>
        <w:instrText xml:space="preserve"> PAGEREF _Toc122982059 \h </w:instrText>
      </w:r>
      <w:r>
        <w:fldChar w:fldCharType="separate"/>
      </w:r>
      <w:r>
        <w:t>22</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"_Toc122982060" </w:instrText>
      </w:r>
      <w:r>
        <w:fldChar w:fldCharType="separate"/>
      </w:r>
      <w:r>
        <w:rPr>
          <w:rStyle w:val="30"/>
          <w:lang w:bidi="zh-CN"/>
        </w:rPr>
        <w:t>5.1.1</w:t>
      </w:r>
      <w:r>
        <w:rPr>
          <w:rFonts w:asciiTheme="minorHAnsi" w:hAnsiTheme="minorHAnsi" w:eastAsiaTheme="minorEastAsia" w:cstheme="minorBidi"/>
          <w:kern w:val="2"/>
          <w:sz w:val="21"/>
        </w:rPr>
        <w:tab/>
      </w:r>
      <w:r>
        <w:rPr>
          <w:rStyle w:val="30"/>
        </w:rPr>
        <w:t>Input option for OSAT/PSAT/APCA/ISAM method</w:t>
      </w:r>
      <w:r>
        <w:tab/>
      </w:r>
      <w:r>
        <w:fldChar w:fldCharType="begin"/>
      </w:r>
      <w:r>
        <w:instrText xml:space="preserve"> PAGEREF _Toc122982060 \h </w:instrText>
      </w:r>
      <w:r>
        <w:fldChar w:fldCharType="separate"/>
      </w:r>
      <w:r>
        <w:t>23</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"_Toc122982061" </w:instrText>
      </w:r>
      <w:r>
        <w:fldChar w:fldCharType="separate"/>
      </w:r>
      <w:r>
        <w:rPr>
          <w:rStyle w:val="30"/>
          <w:lang w:bidi="zh-CN"/>
        </w:rPr>
        <w:t>5.1.2</w:t>
      </w:r>
      <w:r>
        <w:rPr>
          <w:rFonts w:asciiTheme="minorHAnsi" w:hAnsiTheme="minorHAnsi" w:eastAsiaTheme="minorEastAsia" w:cstheme="minorBidi"/>
          <w:kern w:val="2"/>
          <w:sz w:val="21"/>
        </w:rPr>
        <w:tab/>
      </w:r>
      <w:r>
        <w:rPr>
          <w:rStyle w:val="30"/>
        </w:rPr>
        <w:t>Input option for RSM method</w:t>
      </w:r>
      <w:r>
        <w:tab/>
      </w:r>
      <w:r>
        <w:fldChar w:fldCharType="begin"/>
      </w:r>
      <w:r>
        <w:instrText xml:space="preserve"> PAGEREF _Toc122982061 \h </w:instrText>
      </w:r>
      <w:r>
        <w:fldChar w:fldCharType="separate"/>
      </w:r>
      <w:r>
        <w:t>24</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"_Toc122982062" </w:instrText>
      </w:r>
      <w:r>
        <w:fldChar w:fldCharType="separate"/>
      </w:r>
      <w:r>
        <w:rPr>
          <w:rStyle w:val="30"/>
        </w:rPr>
        <w:t>5.2</w:t>
      </w:r>
      <w:r>
        <w:rPr>
          <w:rFonts w:asciiTheme="minorHAnsi" w:hAnsiTheme="minorHAnsi" w:eastAsiaTheme="minorEastAsia" w:cstheme="minorBidi"/>
          <w:kern w:val="2"/>
          <w:sz w:val="21"/>
        </w:rPr>
        <w:tab/>
      </w:r>
      <w:r>
        <w:rPr>
          <w:rStyle w:val="30"/>
        </w:rPr>
        <w:t>Emission &amp; Spatial Field Input Option</w:t>
      </w:r>
      <w:r>
        <w:tab/>
      </w:r>
      <w:r>
        <w:fldChar w:fldCharType="begin"/>
      </w:r>
      <w:r>
        <w:instrText xml:space="preserve"> PAGEREF _Toc122982062 \h </w:instrText>
      </w:r>
      <w:r>
        <w:fldChar w:fldCharType="separate"/>
      </w:r>
      <w:r>
        <w:t>24</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"_Toc122982063" </w:instrText>
      </w:r>
      <w:r>
        <w:fldChar w:fldCharType="separate"/>
      </w:r>
      <w:r>
        <w:rPr>
          <w:rStyle w:val="30"/>
          <w:lang w:bidi="zh-CN"/>
        </w:rPr>
        <w:t>5.2.1</w:t>
      </w:r>
      <w:r>
        <w:rPr>
          <w:rFonts w:asciiTheme="minorHAnsi" w:hAnsiTheme="minorHAnsi" w:eastAsiaTheme="minorEastAsia" w:cstheme="minorBidi"/>
          <w:kern w:val="2"/>
          <w:sz w:val="21"/>
        </w:rPr>
        <w:tab/>
      </w:r>
      <w:r>
        <w:rPr>
          <w:rStyle w:val="30"/>
        </w:rPr>
        <w:t>Emission &amp; Spatial Field Input option for OSAT/PSAT/APCA/ISAM method</w:t>
      </w:r>
      <w:r>
        <w:tab/>
      </w:r>
      <w:r>
        <w:fldChar w:fldCharType="begin"/>
      </w:r>
      <w:r>
        <w:instrText xml:space="preserve"> PAGEREF _Toc122982063 \h </w:instrText>
      </w:r>
      <w:r>
        <w:fldChar w:fldCharType="separate"/>
      </w:r>
      <w:r>
        <w:t>25</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"_Toc122982064" </w:instrText>
      </w:r>
      <w:r>
        <w:fldChar w:fldCharType="separate"/>
      </w:r>
      <w:r>
        <w:rPr>
          <w:rStyle w:val="30"/>
          <w:lang w:bidi="zh-CN"/>
        </w:rPr>
        <w:t>5.2.2</w:t>
      </w:r>
      <w:r>
        <w:rPr>
          <w:rFonts w:asciiTheme="minorHAnsi" w:hAnsiTheme="minorHAnsi" w:eastAsiaTheme="minorEastAsia" w:cstheme="minorBidi"/>
          <w:kern w:val="2"/>
          <w:sz w:val="21"/>
        </w:rPr>
        <w:tab/>
      </w:r>
      <w:r>
        <w:rPr>
          <w:rStyle w:val="30"/>
        </w:rPr>
        <w:t>Emission &amp; Spatial Field Input option for RSM method</w:t>
      </w:r>
      <w:r>
        <w:tab/>
      </w:r>
      <w:r>
        <w:fldChar w:fldCharType="begin"/>
      </w:r>
      <w:r>
        <w:instrText xml:space="preserve"> PAGEREF _Toc122982064 \h </w:instrText>
      </w:r>
      <w:r>
        <w:fldChar w:fldCharType="separate"/>
      </w:r>
      <w:r>
        <w:t>26</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"_Toc122982065" </w:instrText>
      </w:r>
      <w:r>
        <w:fldChar w:fldCharType="separate"/>
      </w:r>
      <w:r>
        <w:rPr>
          <w:rStyle w:val="30"/>
        </w:rPr>
        <w:t>5.3</w:t>
      </w:r>
      <w:r>
        <w:rPr>
          <w:rFonts w:asciiTheme="minorHAnsi" w:hAnsiTheme="minorHAnsi" w:eastAsiaTheme="minorEastAsia" w:cstheme="minorBidi"/>
          <w:kern w:val="2"/>
          <w:sz w:val="21"/>
        </w:rPr>
        <w:tab/>
      </w:r>
      <w:r>
        <w:rPr>
          <w:rStyle w:val="30"/>
        </w:rPr>
        <w:t>QA/Validation Input Option</w:t>
      </w:r>
      <w:r>
        <w:tab/>
      </w:r>
      <w:r>
        <w:fldChar w:fldCharType="begin"/>
      </w:r>
      <w:r>
        <w:instrText xml:space="preserve"> PAGEREF _Toc122982065 \h </w:instrText>
      </w:r>
      <w:r>
        <w:fldChar w:fldCharType="separate"/>
      </w:r>
      <w:r>
        <w:t>27</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"_Toc122982066" </w:instrText>
      </w:r>
      <w:r>
        <w:fldChar w:fldCharType="separate"/>
      </w:r>
      <w:r>
        <w:rPr>
          <w:rStyle w:val="30"/>
        </w:rPr>
        <w:t>5.4</w:t>
      </w:r>
      <w:r>
        <w:rPr>
          <w:rFonts w:asciiTheme="minorHAnsi" w:hAnsiTheme="minorHAnsi" w:eastAsiaTheme="minorEastAsia" w:cstheme="minorBidi"/>
          <w:kern w:val="2"/>
          <w:sz w:val="21"/>
        </w:rPr>
        <w:tab/>
      </w:r>
      <w:r>
        <w:rPr>
          <w:rStyle w:val="30"/>
        </w:rPr>
        <w:t>Input File Validation Option</w:t>
      </w:r>
      <w:r>
        <w:tab/>
      </w:r>
      <w:r>
        <w:fldChar w:fldCharType="begin"/>
      </w:r>
      <w:r>
        <w:instrText xml:space="preserve"> PAGEREF _Toc122982066 \h </w:instrText>
      </w:r>
      <w:r>
        <w:fldChar w:fldCharType="separate"/>
      </w:r>
      <w:r>
        <w:t>29</w:t>
      </w:r>
      <w:r>
        <w:fldChar w:fldCharType="end"/>
      </w:r>
      <w:r>
        <w:fldChar w:fldCharType="end"/>
      </w:r>
    </w:p>
    <w:p>
      <w:pPr>
        <w:pStyle w:val="19"/>
        <w:rPr>
          <w:rFonts w:asciiTheme="minorHAnsi" w:hAnsiTheme="minorHAnsi" w:eastAsiaTheme="minorEastAsia" w:cstheme="minorBidi"/>
          <w:kern w:val="2"/>
          <w:sz w:val="21"/>
        </w:rPr>
      </w:pPr>
      <w:r>
        <w:fldChar w:fldCharType="begin"/>
      </w:r>
      <w:r>
        <w:instrText xml:space="preserve"> HYPERLINK \l "_Toc122982067" </w:instrText>
      </w:r>
      <w:r>
        <w:fldChar w:fldCharType="separate"/>
      </w:r>
      <w:r>
        <w:rPr>
          <w:rStyle w:val="30"/>
        </w:rPr>
        <w:t>6</w:t>
      </w:r>
      <w:r>
        <w:rPr>
          <w:rFonts w:asciiTheme="minorHAnsi" w:hAnsiTheme="minorHAnsi" w:eastAsiaTheme="minorEastAsia" w:cstheme="minorBidi"/>
          <w:kern w:val="2"/>
          <w:sz w:val="21"/>
        </w:rPr>
        <w:tab/>
      </w:r>
      <w:r>
        <w:rPr>
          <w:rStyle w:val="30"/>
        </w:rPr>
        <w:t>Operation Results</w:t>
      </w:r>
      <w:r>
        <w:tab/>
      </w:r>
      <w:r>
        <w:fldChar w:fldCharType="begin"/>
      </w:r>
      <w:r>
        <w:instrText xml:space="preserve"> PAGEREF _Toc122982067 \h </w:instrText>
      </w:r>
      <w:r>
        <w:fldChar w:fldCharType="separate"/>
      </w:r>
      <w:r>
        <w:t>31</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"_Toc122982068" </w:instrText>
      </w:r>
      <w:r>
        <w:fldChar w:fldCharType="separate"/>
      </w:r>
      <w:r>
        <w:rPr>
          <w:rStyle w:val="30"/>
        </w:rPr>
        <w:t>6.1</w:t>
      </w:r>
      <w:r>
        <w:rPr>
          <w:rFonts w:asciiTheme="minorHAnsi" w:hAnsiTheme="minorHAnsi" w:eastAsiaTheme="minorEastAsia" w:cstheme="minorBidi"/>
          <w:kern w:val="2"/>
          <w:sz w:val="21"/>
        </w:rPr>
        <w:tab/>
      </w:r>
      <w:r>
        <w:rPr>
          <w:rStyle w:val="30"/>
        </w:rPr>
        <w:t>Map</w:t>
      </w:r>
      <w:r>
        <w:tab/>
      </w:r>
      <w:r>
        <w:fldChar w:fldCharType="begin"/>
      </w:r>
      <w:r>
        <w:instrText xml:space="preserve"> PAGEREF _Toc122982068 \h </w:instrText>
      </w:r>
      <w:r>
        <w:fldChar w:fldCharType="separate"/>
      </w:r>
      <w:r>
        <w:t>33</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"_Toc122982069" </w:instrText>
      </w:r>
      <w:r>
        <w:fldChar w:fldCharType="separate"/>
      </w:r>
      <w:r>
        <w:rPr>
          <w:rStyle w:val="30"/>
          <w:lang w:bidi="zh-CN"/>
        </w:rPr>
        <w:t>6.1.1</w:t>
      </w:r>
      <w:r>
        <w:rPr>
          <w:rFonts w:asciiTheme="minorHAnsi" w:hAnsiTheme="minorHAnsi" w:eastAsiaTheme="minorEastAsia" w:cstheme="minorBidi"/>
          <w:kern w:val="2"/>
          <w:sz w:val="21"/>
        </w:rPr>
        <w:tab/>
      </w:r>
      <w:r>
        <w:rPr>
          <w:rStyle w:val="30"/>
        </w:rPr>
        <w:t>Select 2D/3D plot</w:t>
      </w:r>
      <w:r>
        <w:tab/>
      </w:r>
      <w:r>
        <w:fldChar w:fldCharType="begin"/>
      </w:r>
      <w:r>
        <w:instrText xml:space="preserve"> PAGEREF _Toc122982069 \h </w:instrText>
      </w:r>
      <w:r>
        <w:fldChar w:fldCharType="separate"/>
      </w:r>
      <w:r>
        <w:t>34</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"_Toc122982070" </w:instrText>
      </w:r>
      <w:r>
        <w:fldChar w:fldCharType="separate"/>
      </w:r>
      <w:r>
        <w:rPr>
          <w:rStyle w:val="30"/>
          <w:lang w:bidi="zh-CN"/>
        </w:rPr>
        <w:t>6.1.2</w:t>
      </w:r>
      <w:r>
        <w:rPr>
          <w:rFonts w:asciiTheme="minorHAnsi" w:hAnsiTheme="minorHAnsi" w:eastAsiaTheme="minorEastAsia" w:cstheme="minorBidi"/>
          <w:kern w:val="2"/>
          <w:sz w:val="21"/>
        </w:rPr>
        <w:tab/>
      </w:r>
      <w:r>
        <w:rPr>
          <w:rStyle w:val="30"/>
        </w:rPr>
        <w:t>Configure color legend</w:t>
      </w:r>
      <w:r>
        <w:tab/>
      </w:r>
      <w:r>
        <w:fldChar w:fldCharType="begin"/>
      </w:r>
      <w:r>
        <w:instrText xml:space="preserve"> PAGEREF _Toc122982070 \h </w:instrText>
      </w:r>
      <w:r>
        <w:fldChar w:fldCharType="separate"/>
      </w:r>
      <w:r>
        <w:t>36</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"_Toc122982071" </w:instrText>
      </w:r>
      <w:r>
        <w:fldChar w:fldCharType="separate"/>
      </w:r>
      <w:r>
        <w:rPr>
          <w:rStyle w:val="30"/>
          <w:lang w:bidi="zh-CN"/>
        </w:rPr>
        <w:t>6.1.3</w:t>
      </w:r>
      <w:r>
        <w:rPr>
          <w:rFonts w:asciiTheme="minorHAnsi" w:hAnsiTheme="minorHAnsi" w:eastAsiaTheme="minorEastAsia" w:cstheme="minorBidi"/>
          <w:kern w:val="2"/>
          <w:sz w:val="21"/>
        </w:rPr>
        <w:tab/>
      </w:r>
      <w:r>
        <w:rPr>
          <w:rStyle w:val="30"/>
        </w:rPr>
        <w:t>Show concentration or response value of base/control cases</w:t>
      </w:r>
      <w:r>
        <w:tab/>
      </w:r>
      <w:r>
        <w:fldChar w:fldCharType="begin"/>
      </w:r>
      <w:r>
        <w:instrText xml:space="preserve"> PAGEREF _Toc122982071 \h </w:instrText>
      </w:r>
      <w:r>
        <w:fldChar w:fldCharType="separate"/>
      </w:r>
      <w:r>
        <w:t>37</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"_Toc122982072" </w:instrText>
      </w:r>
      <w:r>
        <w:fldChar w:fldCharType="separate"/>
      </w:r>
      <w:r>
        <w:rPr>
          <w:rStyle w:val="30"/>
          <w:lang w:bidi="zh-CN"/>
        </w:rPr>
        <w:t>6.1.4</w:t>
      </w:r>
      <w:r>
        <w:rPr>
          <w:rFonts w:asciiTheme="minorHAnsi" w:hAnsiTheme="minorHAnsi" w:eastAsiaTheme="minorEastAsia" w:cstheme="minorBidi"/>
          <w:kern w:val="2"/>
          <w:sz w:val="21"/>
        </w:rPr>
        <w:tab/>
      </w:r>
      <w:r>
        <w:rPr>
          <w:rStyle w:val="30"/>
        </w:rPr>
        <w:t>Customize control factors</w:t>
      </w:r>
      <w:r>
        <w:tab/>
      </w:r>
      <w:r>
        <w:fldChar w:fldCharType="begin"/>
      </w:r>
      <w:r>
        <w:instrText xml:space="preserve"> PAGEREF _Toc122982072 \h </w:instrText>
      </w:r>
      <w:r>
        <w:fldChar w:fldCharType="separate"/>
      </w:r>
      <w:r>
        <w:t>39</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"_Toc122982073" </w:instrText>
      </w:r>
      <w:r>
        <w:fldChar w:fldCharType="separate"/>
      </w:r>
      <w:r>
        <w:rPr>
          <w:rStyle w:val="30"/>
          <w:lang w:bidi="zh-CN"/>
        </w:rPr>
        <w:t>6.1.5</w:t>
      </w:r>
      <w:r>
        <w:rPr>
          <w:rFonts w:asciiTheme="minorHAnsi" w:hAnsiTheme="minorHAnsi" w:eastAsiaTheme="minorEastAsia" w:cstheme="minorBidi"/>
          <w:kern w:val="2"/>
          <w:sz w:val="21"/>
        </w:rPr>
        <w:tab/>
      </w:r>
      <w:r>
        <w:rPr>
          <w:rStyle w:val="30"/>
          <w:lang w:bidi="en-US"/>
        </w:rPr>
        <w:t>Customize Model Domain</w:t>
      </w:r>
      <w:r>
        <w:tab/>
      </w:r>
      <w:r>
        <w:fldChar w:fldCharType="begin"/>
      </w:r>
      <w:r>
        <w:instrText xml:space="preserve"> PAGEREF _Toc122982073 \h </w:instrText>
      </w:r>
      <w:r>
        <w:fldChar w:fldCharType="separate"/>
      </w:r>
      <w:r>
        <w:t>43</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"_Toc122982074" </w:instrText>
      </w:r>
      <w:r>
        <w:fldChar w:fldCharType="separate"/>
      </w:r>
      <w:r>
        <w:rPr>
          <w:rStyle w:val="30"/>
          <w:lang w:bidi="zh-CN"/>
        </w:rPr>
        <w:t>6.1.6</w:t>
      </w:r>
      <w:r>
        <w:rPr>
          <w:rFonts w:asciiTheme="minorHAnsi" w:hAnsiTheme="minorHAnsi" w:eastAsiaTheme="minorEastAsia" w:cstheme="minorBidi"/>
          <w:kern w:val="2"/>
          <w:sz w:val="21"/>
        </w:rPr>
        <w:tab/>
      </w:r>
      <w:r>
        <w:rPr>
          <w:rStyle w:val="30"/>
        </w:rPr>
        <w:t>Monitor Point/DVs &amp; Projection module</w:t>
      </w:r>
      <w:r>
        <w:tab/>
      </w:r>
      <w:r>
        <w:fldChar w:fldCharType="begin"/>
      </w:r>
      <w:r>
        <w:instrText xml:space="preserve"> PAGEREF _Toc122982074 \h </w:instrText>
      </w:r>
      <w:r>
        <w:fldChar w:fldCharType="separate"/>
      </w:r>
      <w:r>
        <w:t>43</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"_Toc122982075" </w:instrText>
      </w:r>
      <w:r>
        <w:fldChar w:fldCharType="separate"/>
      </w:r>
      <w:r>
        <w:rPr>
          <w:rStyle w:val="30"/>
          <w:lang w:bidi="zh-CN"/>
        </w:rPr>
        <w:t>6.1.7</w:t>
      </w:r>
      <w:r>
        <w:rPr>
          <w:rFonts w:asciiTheme="minorHAnsi" w:hAnsiTheme="minorHAnsi" w:eastAsiaTheme="minorEastAsia" w:cstheme="minorBidi"/>
          <w:kern w:val="2"/>
          <w:sz w:val="21"/>
        </w:rPr>
        <w:tab/>
      </w:r>
      <w:r>
        <w:rPr>
          <w:rStyle w:val="30"/>
        </w:rPr>
        <w:t>Display PM Species value</w:t>
      </w:r>
      <w:r>
        <w:tab/>
      </w:r>
      <w:r>
        <w:fldChar w:fldCharType="begin"/>
      </w:r>
      <w:r>
        <w:instrText xml:space="preserve"> PAGEREF _Toc122982075 \h </w:instrText>
      </w:r>
      <w:r>
        <w:fldChar w:fldCharType="separate"/>
      </w:r>
      <w:r>
        <w:t>46</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"_Toc122982076" </w:instrText>
      </w:r>
      <w:r>
        <w:fldChar w:fldCharType="separate"/>
      </w:r>
      <w:r>
        <w:rPr>
          <w:rStyle w:val="30"/>
          <w:lang w:bidi="zh-CN"/>
        </w:rPr>
        <w:t>6.1.8</w:t>
      </w:r>
      <w:r>
        <w:rPr>
          <w:rFonts w:asciiTheme="minorHAnsi" w:hAnsiTheme="minorHAnsi" w:eastAsiaTheme="minorEastAsia" w:cstheme="minorBidi"/>
          <w:kern w:val="2"/>
          <w:sz w:val="21"/>
        </w:rPr>
        <w:tab/>
      </w:r>
      <w:r>
        <w:rPr>
          <w:rStyle w:val="30"/>
        </w:rPr>
        <w:t>EJ/Demographics Data module</w:t>
      </w:r>
      <w:r>
        <w:tab/>
      </w:r>
      <w:r>
        <w:fldChar w:fldCharType="begin"/>
      </w:r>
      <w:r>
        <w:instrText xml:space="preserve"> PAGEREF _Toc122982076 \h </w:instrText>
      </w:r>
      <w:r>
        <w:fldChar w:fldCharType="separate"/>
      </w:r>
      <w:r>
        <w:t>46</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"_Toc122982077" </w:instrText>
      </w:r>
      <w:r>
        <w:fldChar w:fldCharType="separate"/>
      </w:r>
      <w:r>
        <w:rPr>
          <w:rStyle w:val="30"/>
        </w:rPr>
        <w:t>6.2</w:t>
      </w:r>
      <w:r>
        <w:rPr>
          <w:rFonts w:asciiTheme="minorHAnsi" w:hAnsiTheme="minorHAnsi" w:eastAsiaTheme="minorEastAsia" w:cstheme="minorBidi"/>
          <w:kern w:val="2"/>
          <w:sz w:val="21"/>
        </w:rPr>
        <w:tab/>
      </w:r>
      <w:r>
        <w:rPr>
          <w:rStyle w:val="30"/>
        </w:rPr>
        <w:t>Receptor Analysis</w:t>
      </w:r>
      <w:r>
        <w:tab/>
      </w:r>
      <w:r>
        <w:fldChar w:fldCharType="begin"/>
      </w:r>
      <w:r>
        <w:instrText xml:space="preserve"> PAGEREF _Toc122982077 \h </w:instrText>
      </w:r>
      <w:r>
        <w:fldChar w:fldCharType="separate"/>
      </w:r>
      <w:r>
        <w:t>48</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"_Toc122982078" </w:instrText>
      </w:r>
      <w:r>
        <w:fldChar w:fldCharType="separate"/>
      </w:r>
      <w:r>
        <w:rPr>
          <w:rStyle w:val="30"/>
          <w:lang w:bidi="zh-CN"/>
        </w:rPr>
        <w:t>6.2.1</w:t>
      </w:r>
      <w:r>
        <w:rPr>
          <w:rFonts w:asciiTheme="minorHAnsi" w:hAnsiTheme="minorHAnsi" w:eastAsiaTheme="minorEastAsia" w:cstheme="minorBidi"/>
          <w:kern w:val="2"/>
          <w:sz w:val="21"/>
        </w:rPr>
        <w:tab/>
      </w:r>
      <w:r>
        <w:rPr>
          <w:rStyle w:val="30"/>
        </w:rPr>
        <w:t>Emission Control 1</w:t>
      </w:r>
      <w:r>
        <w:tab/>
      </w:r>
      <w:r>
        <w:fldChar w:fldCharType="begin"/>
      </w:r>
      <w:r>
        <w:instrText xml:space="preserve"> PAGEREF _Toc122982078 \h </w:instrText>
      </w:r>
      <w:r>
        <w:fldChar w:fldCharType="separate"/>
      </w:r>
      <w:r>
        <w:t>49</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"_Toc122982079" </w:instrText>
      </w:r>
      <w:r>
        <w:fldChar w:fldCharType="separate"/>
      </w:r>
      <w:r>
        <w:rPr>
          <w:rStyle w:val="30"/>
          <w:lang w:bidi="zh-CN"/>
        </w:rPr>
        <w:t>6.2.2</w:t>
      </w:r>
      <w:r>
        <w:rPr>
          <w:rFonts w:asciiTheme="minorHAnsi" w:hAnsiTheme="minorHAnsi" w:eastAsiaTheme="minorEastAsia" w:cstheme="minorBidi"/>
          <w:kern w:val="2"/>
          <w:sz w:val="21"/>
        </w:rPr>
        <w:tab/>
      </w:r>
      <w:r>
        <w:rPr>
          <w:rStyle w:val="30"/>
        </w:rPr>
        <w:t>Emission Control 2</w:t>
      </w:r>
      <w:r>
        <w:tab/>
      </w:r>
      <w:r>
        <w:fldChar w:fldCharType="begin"/>
      </w:r>
      <w:r>
        <w:instrText xml:space="preserve"> PAGEREF _Toc122982079 \h </w:instrText>
      </w:r>
      <w:r>
        <w:fldChar w:fldCharType="separate"/>
      </w:r>
      <w:r>
        <w:t>49</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"_Toc122982080" </w:instrText>
      </w:r>
      <w:r>
        <w:fldChar w:fldCharType="separate"/>
      </w:r>
      <w:r>
        <w:rPr>
          <w:rStyle w:val="30"/>
          <w:lang w:bidi="zh-CN"/>
        </w:rPr>
        <w:t>6.2.3</w:t>
      </w:r>
      <w:r>
        <w:rPr>
          <w:rFonts w:asciiTheme="minorHAnsi" w:hAnsiTheme="minorHAnsi" w:eastAsiaTheme="minorEastAsia" w:cstheme="minorBidi"/>
          <w:kern w:val="2"/>
          <w:sz w:val="21"/>
        </w:rPr>
        <w:tab/>
      </w:r>
      <w:r>
        <w:rPr>
          <w:rStyle w:val="30"/>
        </w:rPr>
        <w:t>Source Contribution 1</w:t>
      </w:r>
      <w:r>
        <w:tab/>
      </w:r>
      <w:r>
        <w:fldChar w:fldCharType="begin"/>
      </w:r>
      <w:r>
        <w:instrText xml:space="preserve"> PAGEREF _Toc122982080 \h </w:instrText>
      </w:r>
      <w:r>
        <w:fldChar w:fldCharType="separate"/>
      </w:r>
      <w:r>
        <w:t>50</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"_Toc122982081" </w:instrText>
      </w:r>
      <w:r>
        <w:fldChar w:fldCharType="separate"/>
      </w:r>
      <w:r>
        <w:rPr>
          <w:rStyle w:val="30"/>
          <w:lang w:bidi="zh-CN"/>
        </w:rPr>
        <w:t>6.2.4</w:t>
      </w:r>
      <w:r>
        <w:rPr>
          <w:rFonts w:asciiTheme="minorHAnsi" w:hAnsiTheme="minorHAnsi" w:eastAsiaTheme="minorEastAsia" w:cstheme="minorBidi"/>
          <w:kern w:val="2"/>
          <w:sz w:val="21"/>
        </w:rPr>
        <w:tab/>
      </w:r>
      <w:r>
        <w:rPr>
          <w:rStyle w:val="30"/>
        </w:rPr>
        <w:t>Source Contribution 2</w:t>
      </w:r>
      <w:r>
        <w:tab/>
      </w:r>
      <w:r>
        <w:fldChar w:fldCharType="begin"/>
      </w:r>
      <w:r>
        <w:instrText xml:space="preserve"> PAGEREF _Toc122982081 \h </w:instrText>
      </w:r>
      <w:r>
        <w:fldChar w:fldCharType="separate"/>
      </w:r>
      <w:r>
        <w:t>51</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"_Toc122982082" </w:instrText>
      </w:r>
      <w:r>
        <w:fldChar w:fldCharType="separate"/>
      </w:r>
      <w:r>
        <w:rPr>
          <w:rStyle w:val="30"/>
          <w:lang w:bidi="zh-CN"/>
        </w:rPr>
        <w:t>6.2.5</w:t>
      </w:r>
      <w:r>
        <w:rPr>
          <w:rFonts w:asciiTheme="minorHAnsi" w:hAnsiTheme="minorHAnsi" w:eastAsiaTheme="minorEastAsia" w:cstheme="minorBidi"/>
          <w:kern w:val="2"/>
          <w:sz w:val="21"/>
        </w:rPr>
        <w:tab/>
      </w:r>
      <w:r>
        <w:rPr>
          <w:rStyle w:val="30"/>
        </w:rPr>
        <w:t>Customize receptor regions</w:t>
      </w:r>
      <w:r>
        <w:tab/>
      </w:r>
      <w:r>
        <w:fldChar w:fldCharType="begin"/>
      </w:r>
      <w:r>
        <w:instrText xml:space="preserve"> PAGEREF _Toc122982082 \h </w:instrText>
      </w:r>
      <w:r>
        <w:fldChar w:fldCharType="separate"/>
      </w:r>
      <w:r>
        <w:t>52</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"_Toc122982083" </w:instrText>
      </w:r>
      <w:r>
        <w:fldChar w:fldCharType="separate"/>
      </w:r>
      <w:r>
        <w:rPr>
          <w:rStyle w:val="30"/>
        </w:rPr>
        <w:t>6.3</w:t>
      </w:r>
      <w:r>
        <w:rPr>
          <w:rFonts w:asciiTheme="minorHAnsi" w:hAnsiTheme="minorHAnsi" w:eastAsiaTheme="minorEastAsia" w:cstheme="minorBidi"/>
          <w:kern w:val="2"/>
          <w:sz w:val="21"/>
        </w:rPr>
        <w:tab/>
      </w:r>
      <w:r>
        <w:rPr>
          <w:rStyle w:val="30"/>
        </w:rPr>
        <w:t>QA/Validation</w:t>
      </w:r>
      <w:r>
        <w:tab/>
      </w:r>
      <w:r>
        <w:fldChar w:fldCharType="begin"/>
      </w:r>
      <w:r>
        <w:instrText xml:space="preserve"> PAGEREF _Toc122982083 \h </w:instrText>
      </w:r>
      <w:r>
        <w:fldChar w:fldCharType="separate"/>
      </w:r>
      <w:r>
        <w:t>53</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"_Toc122982084" </w:instrText>
      </w:r>
      <w:r>
        <w:fldChar w:fldCharType="separate"/>
      </w:r>
      <w:r>
        <w:rPr>
          <w:rStyle w:val="30"/>
        </w:rPr>
        <w:t>6.4</w:t>
      </w:r>
      <w:r>
        <w:rPr>
          <w:rFonts w:asciiTheme="minorHAnsi" w:hAnsiTheme="minorHAnsi" w:eastAsiaTheme="minorEastAsia" w:cstheme="minorBidi"/>
          <w:kern w:val="2"/>
          <w:sz w:val="21"/>
        </w:rPr>
        <w:tab/>
      </w:r>
      <w:r>
        <w:rPr>
          <w:rStyle w:val="30"/>
        </w:rPr>
        <w:t>Data</w:t>
      </w:r>
      <w:r>
        <w:tab/>
      </w:r>
      <w:r>
        <w:fldChar w:fldCharType="begin"/>
      </w:r>
      <w:r>
        <w:instrText xml:space="preserve"> PAGEREF _Toc122982084 \h </w:instrText>
      </w:r>
      <w:r>
        <w:fldChar w:fldCharType="separate"/>
      </w:r>
      <w:r>
        <w:t>54</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"_Toc122982085" </w:instrText>
      </w:r>
      <w:r>
        <w:fldChar w:fldCharType="separate"/>
      </w:r>
      <w:r>
        <w:rPr>
          <w:rStyle w:val="30"/>
        </w:rPr>
        <w:t>6.5</w:t>
      </w:r>
      <w:r>
        <w:rPr>
          <w:rFonts w:asciiTheme="minorHAnsi" w:hAnsiTheme="minorHAnsi" w:eastAsiaTheme="minorEastAsia" w:cstheme="minorBidi"/>
          <w:kern w:val="2"/>
          <w:sz w:val="21"/>
        </w:rPr>
        <w:tab/>
      </w:r>
      <w:r>
        <w:rPr>
          <w:rStyle w:val="30"/>
        </w:rPr>
        <w:t>GCAM Scenario Builder</w:t>
      </w:r>
      <w:r>
        <w:tab/>
      </w:r>
      <w:r>
        <w:fldChar w:fldCharType="begin"/>
      </w:r>
      <w:r>
        <w:instrText xml:space="preserve"> PAGEREF _Toc122982085 \h </w:instrText>
      </w:r>
      <w:r>
        <w:fldChar w:fldCharType="separate"/>
      </w:r>
      <w:r>
        <w:t>55</w:t>
      </w:r>
      <w:r>
        <w:fldChar w:fldCharType="end"/>
      </w:r>
      <w:r>
        <w:fldChar w:fldCharType="end"/>
      </w:r>
    </w:p>
    <w:p>
      <w:pPr>
        <w:pStyle w:val="19"/>
        <w:rPr>
          <w:rFonts w:asciiTheme="minorHAnsi" w:hAnsiTheme="minorHAnsi" w:eastAsiaTheme="minorEastAsia" w:cstheme="minorBidi"/>
          <w:kern w:val="2"/>
          <w:sz w:val="21"/>
        </w:rPr>
      </w:pPr>
      <w:r>
        <w:fldChar w:fldCharType="begin"/>
      </w:r>
      <w:r>
        <w:instrText xml:space="preserve"> HYPERLINK \l "_Toc122982086" </w:instrText>
      </w:r>
      <w:r>
        <w:fldChar w:fldCharType="separate"/>
      </w:r>
      <w:r>
        <w:rPr>
          <w:rStyle w:val="30"/>
        </w:rPr>
        <w:t>7</w:t>
      </w:r>
      <w:r>
        <w:rPr>
          <w:rFonts w:asciiTheme="minorHAnsi" w:hAnsiTheme="minorHAnsi" w:eastAsiaTheme="minorEastAsia" w:cstheme="minorBidi"/>
          <w:kern w:val="2"/>
          <w:sz w:val="21"/>
        </w:rPr>
        <w:tab/>
      </w:r>
      <w:r>
        <w:rPr>
          <w:rStyle w:val="30"/>
        </w:rPr>
        <w:t>Case Study</w:t>
      </w:r>
      <w:r>
        <w:tab/>
      </w:r>
      <w:r>
        <w:fldChar w:fldCharType="begin"/>
      </w:r>
      <w:r>
        <w:instrText xml:space="preserve"> PAGEREF _Toc122982086 \h </w:instrText>
      </w:r>
      <w:r>
        <w:fldChar w:fldCharType="separate"/>
      </w:r>
      <w:r>
        <w:t>56</w:t>
      </w:r>
      <w:r>
        <w:fldChar w:fldCharType="end"/>
      </w:r>
      <w:r>
        <w:fldChar w:fldCharType="end"/>
      </w:r>
    </w:p>
    <w:p>
      <w:pPr>
        <w:pStyle w:val="21"/>
        <w:tabs>
          <w:tab w:val="left" w:pos="840"/>
          <w:tab w:val="right" w:leader="dot" w:pos="8296"/>
        </w:tabs>
        <w:rPr>
          <w:rFonts w:asciiTheme="minorHAnsi" w:hAnsiTheme="minorHAnsi" w:eastAsiaTheme="minorEastAsia" w:cstheme="minorBidi"/>
          <w:kern w:val="2"/>
          <w:sz w:val="21"/>
        </w:rPr>
      </w:pPr>
      <w:r>
        <w:fldChar w:fldCharType="begin"/>
      </w:r>
      <w:r>
        <w:instrText xml:space="preserve"> HYPERLINK \l "_Toc122982087" </w:instrText>
      </w:r>
      <w:r>
        <w:fldChar w:fldCharType="separate"/>
      </w:r>
      <w:r>
        <w:rPr>
          <w:rStyle w:val="30"/>
        </w:rPr>
        <w:t>7.1</w:t>
      </w:r>
      <w:r>
        <w:rPr>
          <w:rFonts w:asciiTheme="minorHAnsi" w:hAnsiTheme="minorHAnsi" w:eastAsiaTheme="minorEastAsia" w:cstheme="minorBidi"/>
          <w:kern w:val="2"/>
          <w:sz w:val="21"/>
        </w:rPr>
        <w:tab/>
      </w:r>
      <w:r>
        <w:rPr>
          <w:rStyle w:val="30"/>
        </w:rPr>
        <w:t>Ozone MDA8 Analysis – OSAT.</w:t>
      </w:r>
      <w:r>
        <w:tab/>
      </w:r>
      <w:r>
        <w:fldChar w:fldCharType="begin"/>
      </w:r>
      <w:r>
        <w:instrText xml:space="preserve"> PAGEREF _Toc122982087 \h </w:instrText>
      </w:r>
      <w:r>
        <w:fldChar w:fldCharType="separate"/>
      </w:r>
      <w:r>
        <w:t>56</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"_Toc122982088" </w:instrText>
      </w:r>
      <w:r>
        <w:fldChar w:fldCharType="separate"/>
      </w:r>
      <w:r>
        <w:rPr>
          <w:rStyle w:val="30"/>
          <w:lang w:bidi="zh-CN"/>
        </w:rPr>
        <w:t>7.1.1</w:t>
      </w:r>
      <w:r>
        <w:rPr>
          <w:rFonts w:asciiTheme="minorHAnsi" w:hAnsiTheme="minorHAnsi" w:eastAsiaTheme="minorEastAsia" w:cstheme="minorBidi"/>
          <w:kern w:val="2"/>
          <w:sz w:val="21"/>
        </w:rPr>
        <w:tab/>
      </w:r>
      <w:r>
        <w:rPr>
          <w:rStyle w:val="30"/>
        </w:rPr>
        <w:t>Create a new project</w:t>
      </w:r>
      <w:r>
        <w:tab/>
      </w:r>
      <w:r>
        <w:fldChar w:fldCharType="begin"/>
      </w:r>
      <w:r>
        <w:instrText xml:space="preserve"> PAGEREF _Toc122982088 \h </w:instrText>
      </w:r>
      <w:r>
        <w:fldChar w:fldCharType="separate"/>
      </w:r>
      <w:r>
        <w:t>56</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"_Toc122982089" </w:instrText>
      </w:r>
      <w:r>
        <w:fldChar w:fldCharType="separate"/>
      </w:r>
      <w:r>
        <w:rPr>
          <w:rStyle w:val="30"/>
          <w:lang w:bidi="zh-CN"/>
        </w:rPr>
        <w:t>7.1.2</w:t>
      </w:r>
      <w:r>
        <w:rPr>
          <w:rFonts w:asciiTheme="minorHAnsi" w:hAnsiTheme="minorHAnsi" w:eastAsiaTheme="minorEastAsia" w:cstheme="minorBidi"/>
          <w:kern w:val="2"/>
          <w:sz w:val="21"/>
        </w:rPr>
        <w:tab/>
      </w:r>
      <w:r>
        <w:rPr>
          <w:rStyle w:val="30"/>
        </w:rPr>
        <w:t>Set up input parameters</w:t>
      </w:r>
      <w:r>
        <w:tab/>
      </w:r>
      <w:r>
        <w:fldChar w:fldCharType="begin"/>
      </w:r>
      <w:r>
        <w:instrText xml:space="preserve"> PAGEREF _Toc122982089 \h </w:instrText>
      </w:r>
      <w:r>
        <w:fldChar w:fldCharType="separate"/>
      </w:r>
      <w:r>
        <w:t>57</w:t>
      </w:r>
      <w:r>
        <w:fldChar w:fldCharType="end"/>
      </w:r>
      <w:r>
        <w:fldChar w:fldCharType="end"/>
      </w:r>
    </w:p>
    <w:p>
      <w:pPr>
        <w:pStyle w:val="15"/>
        <w:rPr>
          <w:rFonts w:asciiTheme="minorHAnsi" w:hAnsiTheme="minorHAnsi" w:eastAsiaTheme="minorEastAsia" w:cstheme="minorBidi"/>
          <w:kern w:val="2"/>
          <w:sz w:val="21"/>
        </w:rPr>
      </w:pPr>
      <w:r>
        <w:fldChar w:fldCharType="begin"/>
      </w:r>
      <w:r>
        <w:instrText xml:space="preserve"> HYPERLINK \l "_Toc122982090" </w:instrText>
      </w:r>
      <w:r>
        <w:fldChar w:fldCharType="separate"/>
      </w:r>
      <w:r>
        <w:rPr>
          <w:rStyle w:val="30"/>
          <w:lang w:bidi="zh-CN"/>
        </w:rPr>
        <w:t>7.1.3</w:t>
      </w:r>
      <w:r>
        <w:rPr>
          <w:rFonts w:asciiTheme="minorHAnsi" w:hAnsiTheme="minorHAnsi" w:eastAsiaTheme="minorEastAsia" w:cstheme="minorBidi"/>
          <w:kern w:val="2"/>
          <w:sz w:val="21"/>
        </w:rPr>
        <w:tab/>
      </w:r>
      <w:r>
        <w:rPr>
          <w:rStyle w:val="30"/>
        </w:rPr>
        <w:t>View results</w:t>
      </w:r>
      <w:r>
        <w:tab/>
      </w:r>
      <w:r>
        <w:fldChar w:fldCharType="begin"/>
      </w:r>
      <w:r>
        <w:instrText xml:space="preserve"> PAGEREF _Toc122982090 \h </w:instrText>
      </w:r>
      <w:r>
        <w:fldChar w:fldCharType="separate"/>
      </w:r>
      <w:r>
        <w:t>63</w:t>
      </w:r>
      <w:r>
        <w:fldChar w:fldCharType="end"/>
      </w:r>
      <w:r>
        <w:fldChar w:fldCharType="end"/>
      </w:r>
    </w:p>
    <w:p>
      <w:pPr>
        <w:pStyle w:val="19"/>
        <w:rPr>
          <w:rFonts w:asciiTheme="minorHAnsi" w:hAnsiTheme="minorHAnsi" w:eastAsiaTheme="minorEastAsia" w:cstheme="minorBidi"/>
          <w:kern w:val="2"/>
          <w:sz w:val="21"/>
        </w:rPr>
      </w:pPr>
      <w:r>
        <w:fldChar w:fldCharType="begin"/>
      </w:r>
      <w:r>
        <w:instrText xml:space="preserve"> HYPERLINK \l "_Toc122982091" </w:instrText>
      </w:r>
      <w:r>
        <w:fldChar w:fldCharType="separate"/>
      </w:r>
      <w:r>
        <w:rPr>
          <w:rStyle w:val="30"/>
        </w:rPr>
        <w:t>8</w:t>
      </w:r>
      <w:r>
        <w:rPr>
          <w:rFonts w:asciiTheme="minorHAnsi" w:hAnsiTheme="minorHAnsi" w:eastAsiaTheme="minorEastAsia" w:cstheme="minorBidi"/>
          <w:kern w:val="2"/>
          <w:sz w:val="21"/>
        </w:rPr>
        <w:tab/>
      </w:r>
      <w:r>
        <w:rPr>
          <w:rStyle w:val="30"/>
        </w:rPr>
        <w:t>Reference</w:t>
      </w:r>
      <w:r>
        <w:tab/>
      </w:r>
      <w:r>
        <w:fldChar w:fldCharType="begin"/>
      </w:r>
      <w:r>
        <w:instrText xml:space="preserve"> PAGEREF _Toc122982091 \h </w:instrText>
      </w:r>
      <w:r>
        <w:fldChar w:fldCharType="separate"/>
      </w:r>
      <w:r>
        <w:t>67</w:t>
      </w:r>
      <w:r>
        <w:fldChar w:fldCharType="end"/>
      </w:r>
      <w:r>
        <w:fldChar w:fldCharType="end"/>
      </w:r>
    </w:p>
    <w:p>
      <w:pPr>
        <w:spacing w:line="360" w:lineRule="auto"/>
        <w:ind w:firstLine="240"/>
        <w:rPr>
          <w:b/>
          <w:bCs/>
        </w:rPr>
        <w:sectPr>
          <w:headerReference r:id="rId7" w:type="default"/>
          <w:footerReference r:id="rId8" w:type="default"/>
          <w:pgSz w:w="11906" w:h="16838"/>
          <w:pgMar w:top="1440" w:right="1800" w:bottom="1440" w:left="1800" w:header="706" w:footer="706" w:gutter="0"/>
          <w:pgNumType w:fmt="lowerRoman" w:start="1"/>
          <w:cols w:space="708" w:num="1"/>
          <w:docGrid w:linePitch="360" w:charSpace="0"/>
        </w:sectPr>
      </w:pPr>
      <w:r>
        <w:rPr>
          <w:bCs/>
        </w:rPr>
        <w:fldChar w:fldCharType="end"/>
      </w:r>
    </w:p>
    <w:bookmarkEnd w:id="1"/>
    <w:p>
      <w:pPr>
        <w:spacing w:before="240" w:after="240" w:line="360" w:lineRule="auto"/>
        <w:jc w:val="center"/>
        <w:rPr>
          <w:b/>
          <w:bCs/>
          <w:sz w:val="40"/>
          <w:szCs w:val="40"/>
        </w:rPr>
      </w:pPr>
      <w:r>
        <w:rPr>
          <w:b/>
          <w:bCs/>
          <w:sz w:val="40"/>
          <w:szCs w:val="40"/>
        </w:rPr>
        <w:t>List of Tables</w:t>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w:instrText>
      </w:r>
      <w:r>
        <w:rPr>
          <w:rFonts w:hint="eastAsia"/>
        </w:rPr>
        <w:instrText xml:space="preserve">TOC \h \z \c "Table"</w:instrText>
      </w:r>
      <w:r>
        <w:instrText xml:space="preserve"> </w:instrText>
      </w:r>
      <w:r>
        <w:fldChar w:fldCharType="separate"/>
      </w:r>
      <w:r>
        <w:fldChar w:fldCharType="begin"/>
      </w:r>
      <w:r>
        <w:instrText xml:space="preserve"> HYPERLINK \l "_Toc122982092" </w:instrText>
      </w:r>
      <w:r>
        <w:fldChar w:fldCharType="separate"/>
      </w:r>
      <w:r>
        <w:rPr>
          <w:rStyle w:val="30"/>
        </w:rPr>
        <w:t>Table 1. The headers of Baseline Spatial Field File for O</w:t>
      </w:r>
      <w:r>
        <w:rPr>
          <w:rStyle w:val="30"/>
          <w:vertAlign w:val="subscript"/>
        </w:rPr>
        <w:t>3</w:t>
      </w:r>
      <w:r>
        <w:rPr>
          <w:rStyle w:val="30"/>
        </w:rPr>
        <w:t xml:space="preserve"> analysis</w:t>
      </w:r>
      <w:r>
        <w:tab/>
      </w:r>
      <w:r>
        <w:fldChar w:fldCharType="begin"/>
      </w:r>
      <w:r>
        <w:instrText xml:space="preserve"> PAGEREF _Toc122982092 \h </w:instrText>
      </w:r>
      <w:r>
        <w:fldChar w:fldCharType="separate"/>
      </w:r>
      <w:r>
        <w:t>10</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"_Toc122982093" </w:instrText>
      </w:r>
      <w:r>
        <w:fldChar w:fldCharType="separate"/>
      </w:r>
      <w:r>
        <w:rPr>
          <w:rStyle w:val="30"/>
        </w:rPr>
        <w:t>Table 2. The headers of Baseline Spatial Field File for PM</w:t>
      </w:r>
      <w:r>
        <w:rPr>
          <w:rStyle w:val="30"/>
          <w:vertAlign w:val="subscript"/>
        </w:rPr>
        <w:t>2.5</w:t>
      </w:r>
      <w:r>
        <w:rPr>
          <w:rStyle w:val="30"/>
        </w:rPr>
        <w:t xml:space="preserve"> analysis</w:t>
      </w:r>
      <w:r>
        <w:tab/>
      </w:r>
      <w:r>
        <w:fldChar w:fldCharType="begin"/>
      </w:r>
      <w:r>
        <w:instrText xml:space="preserve"> PAGEREF _Toc122982093 \h </w:instrText>
      </w:r>
      <w:r>
        <w:fldChar w:fldCharType="separate"/>
      </w:r>
      <w:r>
        <w:t>10</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"_Toc122982094" </w:instrText>
      </w:r>
      <w:r>
        <w:fldChar w:fldCharType="separate"/>
      </w:r>
      <w:r>
        <w:rPr>
          <w:rStyle w:val="30"/>
        </w:rPr>
        <w:t>Table 3. The headers of Baseline Species Spatial Field File</w:t>
      </w:r>
      <w:r>
        <w:tab/>
      </w:r>
      <w:r>
        <w:fldChar w:fldCharType="begin"/>
      </w:r>
      <w:r>
        <w:instrText xml:space="preserve"> PAGEREF _Toc122982094 \h </w:instrText>
      </w:r>
      <w:r>
        <w:fldChar w:fldCharType="separate"/>
      </w:r>
      <w:r>
        <w:t>11</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"_Toc122982095" </w:instrText>
      </w:r>
      <w:r>
        <w:fldChar w:fldCharType="separate"/>
      </w:r>
      <w:r>
        <w:rPr>
          <w:rStyle w:val="30"/>
        </w:rPr>
        <w:t>Table 4. File types used by FAST-CE</w:t>
      </w:r>
      <w:r>
        <w:tab/>
      </w:r>
      <w:r>
        <w:fldChar w:fldCharType="begin"/>
      </w:r>
      <w:r>
        <w:instrText xml:space="preserve"> PAGEREF _Toc122982095 \h </w:instrText>
      </w:r>
      <w:r>
        <w:fldChar w:fldCharType="separate"/>
      </w:r>
      <w:r>
        <w:t>12</w:t>
      </w:r>
      <w:r>
        <w:fldChar w:fldCharType="end"/>
      </w:r>
      <w:r>
        <w:fldChar w:fldCharType="end"/>
      </w:r>
    </w:p>
    <w:p>
      <w:pPr>
        <w:spacing w:line="360" w:lineRule="auto"/>
        <w:ind w:firstLine="98" w:firstLineChars="41"/>
      </w:pPr>
      <w:r>
        <w:fldChar w:fldCharType="end"/>
      </w:r>
    </w:p>
    <w:p>
      <w:pPr>
        <w:spacing w:line="360" w:lineRule="auto"/>
        <w:ind w:firstLine="240"/>
      </w:pPr>
    </w:p>
    <w:p>
      <w:pPr>
        <w:spacing w:line="360" w:lineRule="auto"/>
        <w:ind w:firstLine="240"/>
        <w:sectPr>
          <w:footerReference r:id="rId9" w:type="default"/>
          <w:pgSz w:w="11906" w:h="16838"/>
          <w:pgMar w:top="1440" w:right="1800" w:bottom="1440" w:left="1800" w:header="708" w:footer="708" w:gutter="0"/>
          <w:pgNumType w:fmt="lowerRoman"/>
          <w:cols w:space="708" w:num="1"/>
          <w:docGrid w:linePitch="360" w:charSpace="0"/>
        </w:sectPr>
      </w:pPr>
    </w:p>
    <w:p>
      <w:pPr>
        <w:spacing w:before="240" w:after="240" w:line="360" w:lineRule="auto"/>
        <w:jc w:val="center"/>
        <w:rPr>
          <w:b/>
          <w:bCs/>
          <w:sz w:val="40"/>
          <w:szCs w:val="40"/>
        </w:rPr>
      </w:pPr>
      <w:r>
        <w:rPr>
          <w:rFonts w:hint="eastAsia"/>
          <w:b/>
          <w:bCs/>
          <w:sz w:val="40"/>
          <w:szCs w:val="40"/>
        </w:rPr>
        <w:t>L</w:t>
      </w:r>
      <w:r>
        <w:rPr>
          <w:b/>
          <w:bCs/>
          <w:sz w:val="40"/>
          <w:szCs w:val="40"/>
        </w:rPr>
        <w:t>ist of Figures</w:t>
      </w:r>
    </w:p>
    <w:p>
      <w:pPr>
        <w:pStyle w:val="20"/>
        <w:tabs>
          <w:tab w:val="right" w:leader="dot" w:pos="8296"/>
        </w:tabs>
        <w:ind w:left="960" w:hanging="480"/>
        <w:rPr>
          <w:rFonts w:asciiTheme="minorHAnsi" w:hAnsiTheme="minorHAnsi" w:eastAsiaTheme="minorEastAsia"/>
          <w:kern w:val="2"/>
          <w:sz w:val="21"/>
        </w:rPr>
      </w:pPr>
      <w:r>
        <w:rPr>
          <w:rStyle w:val="30"/>
        </w:rPr>
        <w:fldChar w:fldCharType="begin"/>
      </w:r>
      <w:r>
        <w:rPr>
          <w:rStyle w:val="30"/>
        </w:rPr>
        <w:instrText xml:space="preserve"> </w:instrText>
      </w:r>
      <w:r>
        <w:rPr>
          <w:rStyle w:val="30"/>
          <w:rFonts w:hint="eastAsia"/>
        </w:rPr>
        <w:instrText xml:space="preserve">TOC \h \z \c "Fig."</w:instrText>
      </w:r>
      <w:r>
        <w:rPr>
          <w:rStyle w:val="30"/>
        </w:rPr>
        <w:instrText xml:space="preserve"> </w:instrText>
      </w:r>
      <w:r>
        <w:rPr>
          <w:rStyle w:val="30"/>
        </w:rPr>
        <w:fldChar w:fldCharType="separate"/>
      </w:r>
      <w:r>
        <w:fldChar w:fldCharType="begin"/>
      </w:r>
      <w:r>
        <w:instrText xml:space="preserve"> HYPERLINK \l "_Toc122982096" </w:instrText>
      </w:r>
      <w:r>
        <w:fldChar w:fldCharType="separate"/>
      </w:r>
      <w:r>
        <w:rPr>
          <w:rStyle w:val="30"/>
        </w:rPr>
        <w:t>Figure 1. The conceptual framework of FAST-CE</w:t>
      </w:r>
      <w:r>
        <w:tab/>
      </w:r>
      <w:r>
        <w:fldChar w:fldCharType="begin"/>
      </w:r>
      <w:r>
        <w:instrText xml:space="preserve"> PAGEREF _Toc122982096 \h </w:instrText>
      </w:r>
      <w:r>
        <w:fldChar w:fldCharType="separate"/>
      </w:r>
      <w:r>
        <w:t>3</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"_Toc122982097" </w:instrText>
      </w:r>
      <w:r>
        <w:fldChar w:fldCharType="separate"/>
      </w:r>
      <w:r>
        <w:rPr>
          <w:rStyle w:val="30"/>
        </w:rPr>
        <w:t>Figure 2. Setup Window</w:t>
      </w:r>
      <w:r>
        <w:tab/>
      </w:r>
      <w:r>
        <w:fldChar w:fldCharType="begin"/>
      </w:r>
      <w:r>
        <w:instrText xml:space="preserve"> PAGEREF _Toc122982097 \h </w:instrText>
      </w:r>
      <w:r>
        <w:fldChar w:fldCharType="separate"/>
      </w:r>
      <w:r>
        <w:t>4</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"_Toc122982098" </w:instrText>
      </w:r>
      <w:r>
        <w:fldChar w:fldCharType="separate"/>
      </w:r>
      <w:r>
        <w:rPr>
          <w:rStyle w:val="30"/>
        </w:rPr>
        <w:t>Figure 3. Choose Install Path</w:t>
      </w:r>
      <w:r>
        <w:tab/>
      </w:r>
      <w:r>
        <w:fldChar w:fldCharType="begin"/>
      </w:r>
      <w:r>
        <w:instrText xml:space="preserve"> PAGEREF _Toc122982098 \h </w:instrText>
      </w:r>
      <w:r>
        <w:fldChar w:fldCharType="separate"/>
      </w:r>
      <w:r>
        <w:t>5</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"_Toc122982099" </w:instrText>
      </w:r>
      <w:r>
        <w:fldChar w:fldCharType="separate"/>
      </w:r>
      <w:r>
        <w:rPr>
          <w:rStyle w:val="30"/>
        </w:rPr>
        <w:t>Figure 4. Ready to Install</w:t>
      </w:r>
      <w:r>
        <w:tab/>
      </w:r>
      <w:r>
        <w:fldChar w:fldCharType="begin"/>
      </w:r>
      <w:r>
        <w:instrText xml:space="preserve"> PAGEREF _Toc122982099 \h </w:instrText>
      </w:r>
      <w:r>
        <w:fldChar w:fldCharType="separate"/>
      </w:r>
      <w:r>
        <w:t>5</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"_Toc122982100" </w:instrText>
      </w:r>
      <w:r>
        <w:fldChar w:fldCharType="separate"/>
      </w:r>
      <w:r>
        <w:rPr>
          <w:rStyle w:val="30"/>
        </w:rPr>
        <w:t>Figure 5. Installation Process</w:t>
      </w:r>
      <w:r>
        <w:tab/>
      </w:r>
      <w:r>
        <w:fldChar w:fldCharType="begin"/>
      </w:r>
      <w:r>
        <w:instrText xml:space="preserve"> PAGEREF _Toc122982100 \h </w:instrText>
      </w:r>
      <w:r>
        <w:fldChar w:fldCharType="separate"/>
      </w:r>
      <w:r>
        <w:t>6</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"_Toc122982101" </w:instrText>
      </w:r>
      <w:r>
        <w:fldChar w:fldCharType="separate"/>
      </w:r>
      <w:r>
        <w:rPr>
          <w:rStyle w:val="30"/>
        </w:rPr>
        <w:t>Figure 6. Complete Installation</w:t>
      </w:r>
      <w:r>
        <w:tab/>
      </w:r>
      <w:r>
        <w:fldChar w:fldCharType="begin"/>
      </w:r>
      <w:r>
        <w:instrText xml:space="preserve"> PAGEREF _Toc122982101 \h </w:instrText>
      </w:r>
      <w:r>
        <w:fldChar w:fldCharType="separate"/>
      </w:r>
      <w:r>
        <w:t>6</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"_Toc122982102" </w:instrText>
      </w:r>
      <w:r>
        <w:fldChar w:fldCharType="separate"/>
      </w:r>
      <w:r>
        <w:rPr>
          <w:rStyle w:val="30"/>
        </w:rPr>
        <w:t xml:space="preserve">Figure 7. </w:t>
      </w:r>
      <w:r>
        <w:rPr>
          <w:rStyle w:val="30"/>
          <w:rFonts w:cs="Times New Roman"/>
        </w:rPr>
        <w:t>Choose Install Path</w:t>
      </w:r>
      <w:r>
        <w:tab/>
      </w:r>
      <w:r>
        <w:fldChar w:fldCharType="begin"/>
      </w:r>
      <w:r>
        <w:instrText xml:space="preserve"> PAGEREF _Toc122982102 \h </w:instrText>
      </w:r>
      <w:r>
        <w:fldChar w:fldCharType="separate"/>
      </w:r>
      <w:r>
        <w:t>7</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"_Toc122982103" </w:instrText>
      </w:r>
      <w:r>
        <w:fldChar w:fldCharType="separate"/>
      </w:r>
      <w:r>
        <w:rPr>
          <w:rStyle w:val="30"/>
        </w:rPr>
        <w:t>Figure 8. Installation Process</w:t>
      </w:r>
      <w:r>
        <w:tab/>
      </w:r>
      <w:r>
        <w:fldChar w:fldCharType="begin"/>
      </w:r>
      <w:r>
        <w:instrText xml:space="preserve"> PAGEREF _Toc122982103 \h </w:instrText>
      </w:r>
      <w:r>
        <w:fldChar w:fldCharType="separate"/>
      </w:r>
      <w:r>
        <w:t>8</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"_Toc122982104" </w:instrText>
      </w:r>
      <w:r>
        <w:fldChar w:fldCharType="separate"/>
      </w:r>
      <w:r>
        <w:rPr>
          <w:rStyle w:val="30"/>
        </w:rPr>
        <w:t>Figure 9. Uninstallation Process</w:t>
      </w:r>
      <w:r>
        <w:tab/>
      </w:r>
      <w:r>
        <w:fldChar w:fldCharType="begin"/>
      </w:r>
      <w:r>
        <w:instrText xml:space="preserve"> PAGEREF _Toc122982104 \h </w:instrText>
      </w:r>
      <w:r>
        <w:fldChar w:fldCharType="separate"/>
      </w:r>
      <w:r>
        <w:t>8</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"_Toc122982105" </w:instrText>
      </w:r>
      <w:r>
        <w:fldChar w:fldCharType="separate"/>
      </w:r>
      <w:r>
        <w:rPr>
          <w:rStyle w:val="30"/>
        </w:rPr>
        <w:t>Figure 10. Load a previous project</w:t>
      </w:r>
      <w:r>
        <w:tab/>
      </w:r>
      <w:r>
        <w:fldChar w:fldCharType="begin"/>
      </w:r>
      <w:r>
        <w:instrText xml:space="preserve"> PAGEREF _Toc122982105 \h </w:instrText>
      </w:r>
      <w:r>
        <w:fldChar w:fldCharType="separate"/>
      </w:r>
      <w:r>
        <w:t>13</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"_Toc122982106" </w:instrText>
      </w:r>
      <w:r>
        <w:fldChar w:fldCharType="separate"/>
      </w:r>
      <w:r>
        <w:rPr>
          <w:rStyle w:val="30"/>
        </w:rPr>
        <w:t>Figure 11. Main Interface of FAST-CE</w:t>
      </w:r>
      <w:r>
        <w:tab/>
      </w:r>
      <w:r>
        <w:fldChar w:fldCharType="begin"/>
      </w:r>
      <w:r>
        <w:instrText xml:space="preserve"> PAGEREF _Toc122982106 \h </w:instrText>
      </w:r>
      <w:r>
        <w:fldChar w:fldCharType="separate"/>
      </w:r>
      <w:r>
        <w:t>20</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"_Toc122982107" </w:instrText>
      </w:r>
      <w:r>
        <w:fldChar w:fldCharType="separate"/>
      </w:r>
      <w:r>
        <w:rPr>
          <w:rStyle w:val="30"/>
          <w:rFonts w:eastAsia="黑体" w:cstheme="majorBidi"/>
          <w:i/>
        </w:rPr>
        <w:t>Figure 12. Show Metadata/Model data</w:t>
      </w:r>
      <w:r>
        <w:tab/>
      </w:r>
      <w:r>
        <w:fldChar w:fldCharType="begin"/>
      </w:r>
      <w:r>
        <w:instrText xml:space="preserve"> PAGEREF _Toc122982107 \h </w:instrText>
      </w:r>
      <w:r>
        <w:fldChar w:fldCharType="separate"/>
      </w:r>
      <w:r>
        <w:t>21</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"_Toc122982108" </w:instrText>
      </w:r>
      <w:r>
        <w:fldChar w:fldCharType="separate"/>
      </w:r>
      <w:r>
        <w:rPr>
          <w:rStyle w:val="30"/>
          <w:rFonts w:eastAsia="黑体" w:cstheme="majorBidi"/>
          <w:i/>
        </w:rPr>
        <w:t>Figure 13. Add New Rows and Information</w:t>
      </w:r>
      <w:r>
        <w:tab/>
      </w:r>
      <w:r>
        <w:fldChar w:fldCharType="begin"/>
      </w:r>
      <w:r>
        <w:instrText xml:space="preserve"> PAGEREF _Toc122982108 \h </w:instrText>
      </w:r>
      <w:r>
        <w:fldChar w:fldCharType="separate"/>
      </w:r>
      <w:r>
        <w:t>21</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"_Toc122982109" </w:instrText>
      </w:r>
      <w:r>
        <w:fldChar w:fldCharType="separate"/>
      </w:r>
      <w:r>
        <w:rPr>
          <w:rStyle w:val="30"/>
        </w:rPr>
        <w:t>Figure 14. Delete Rows</w:t>
      </w:r>
      <w:r>
        <w:tab/>
      </w:r>
      <w:r>
        <w:fldChar w:fldCharType="begin"/>
      </w:r>
      <w:r>
        <w:instrText xml:space="preserve"> PAGEREF _Toc122982109 \h </w:instrText>
      </w:r>
      <w:r>
        <w:fldChar w:fldCharType="separate"/>
      </w:r>
      <w:r>
        <w:t>22</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"_Toc122982110" </w:instrText>
      </w:r>
      <w:r>
        <w:fldChar w:fldCharType="separate"/>
      </w:r>
      <w:r>
        <w:rPr>
          <w:rStyle w:val="30"/>
        </w:rPr>
        <w:t>Figure 15. Source Contribution Input Option</w:t>
      </w:r>
      <w:r>
        <w:tab/>
      </w:r>
      <w:r>
        <w:fldChar w:fldCharType="begin"/>
      </w:r>
      <w:r>
        <w:instrText xml:space="preserve"> PAGEREF _Toc122982110 \h </w:instrText>
      </w:r>
      <w:r>
        <w:fldChar w:fldCharType="separate"/>
      </w:r>
      <w:r>
        <w:t>22</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"_Toc122982111" </w:instrText>
      </w:r>
      <w:r>
        <w:fldChar w:fldCharType="separate"/>
      </w:r>
      <w:r>
        <w:rPr>
          <w:rStyle w:val="30"/>
        </w:rPr>
        <w:t>Figure 16. Input option for OSAT/PSAT/APCA/ISAM method</w:t>
      </w:r>
      <w:r>
        <w:tab/>
      </w:r>
      <w:r>
        <w:fldChar w:fldCharType="begin"/>
      </w:r>
      <w:r>
        <w:instrText xml:space="preserve"> PAGEREF _Toc122982111 \h </w:instrText>
      </w:r>
      <w:r>
        <w:fldChar w:fldCharType="separate"/>
      </w:r>
      <w:r>
        <w:t>23</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"_Toc122982112" </w:instrText>
      </w:r>
      <w:r>
        <w:fldChar w:fldCharType="separate"/>
      </w:r>
      <w:r>
        <w:rPr>
          <w:rStyle w:val="30"/>
        </w:rPr>
        <w:t>Figure 17. Input option for RSM method</w:t>
      </w:r>
      <w:r>
        <w:tab/>
      </w:r>
      <w:r>
        <w:fldChar w:fldCharType="begin"/>
      </w:r>
      <w:r>
        <w:instrText xml:space="preserve"> PAGEREF _Toc122982112 \h </w:instrText>
      </w:r>
      <w:r>
        <w:fldChar w:fldCharType="separate"/>
      </w:r>
      <w:r>
        <w:t>24</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"_Toc122982113" </w:instrText>
      </w:r>
      <w:r>
        <w:fldChar w:fldCharType="separate"/>
      </w:r>
      <w:r>
        <w:rPr>
          <w:rStyle w:val="30"/>
        </w:rPr>
        <w:t>Figure 18. Emission &amp; Spatial Field Input Option</w:t>
      </w:r>
      <w:r>
        <w:tab/>
      </w:r>
      <w:r>
        <w:fldChar w:fldCharType="begin"/>
      </w:r>
      <w:r>
        <w:instrText xml:space="preserve"> PAGEREF _Toc122982113 \h </w:instrText>
      </w:r>
      <w:r>
        <w:fldChar w:fldCharType="separate"/>
      </w:r>
      <w:r>
        <w:t>25</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"_Toc122982114" </w:instrText>
      </w:r>
      <w:r>
        <w:fldChar w:fldCharType="separate"/>
      </w:r>
      <w:r>
        <w:rPr>
          <w:rStyle w:val="30"/>
        </w:rPr>
        <w:t xml:space="preserve">Figure 19. </w:t>
      </w:r>
      <w:r>
        <w:rPr>
          <w:rStyle w:val="30"/>
          <w:lang w:bidi="en-US"/>
        </w:rPr>
        <w:t>Baseline AQ Surface &amp; Emissions Input Option for OSAT/PSAT/APCA/ISAM Method</w:t>
      </w:r>
      <w:r>
        <w:tab/>
      </w:r>
      <w:r>
        <w:fldChar w:fldCharType="begin"/>
      </w:r>
      <w:r>
        <w:instrText xml:space="preserve"> PAGEREF _Toc122982114 \h </w:instrText>
      </w:r>
      <w:r>
        <w:fldChar w:fldCharType="separate"/>
      </w:r>
      <w:r>
        <w:t>26</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"_Toc122982115" </w:instrText>
      </w:r>
      <w:r>
        <w:fldChar w:fldCharType="separate"/>
      </w:r>
      <w:r>
        <w:rPr>
          <w:rStyle w:val="30"/>
        </w:rPr>
        <w:t xml:space="preserve">Figure 20. </w:t>
      </w:r>
      <w:r>
        <w:rPr>
          <w:rStyle w:val="30"/>
          <w:lang w:bidi="en-US"/>
        </w:rPr>
        <w:t>Baseline AQ Surface &amp; Emissions Input Option for RSM Method</w:t>
      </w:r>
      <w:r>
        <w:tab/>
      </w:r>
      <w:r>
        <w:fldChar w:fldCharType="begin"/>
      </w:r>
      <w:r>
        <w:instrText xml:space="preserve"> PAGEREF _Toc122982115 \h </w:instrText>
      </w:r>
      <w:r>
        <w:fldChar w:fldCharType="separate"/>
      </w:r>
      <w:r>
        <w:t>27</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"_Toc122982116" </w:instrText>
      </w:r>
      <w:r>
        <w:fldChar w:fldCharType="separate"/>
      </w:r>
      <w:r>
        <w:rPr>
          <w:rStyle w:val="30"/>
        </w:rPr>
        <w:t>Figure 21. QA/Validation Input Option</w:t>
      </w:r>
      <w:r>
        <w:tab/>
      </w:r>
      <w:r>
        <w:fldChar w:fldCharType="begin"/>
      </w:r>
      <w:r>
        <w:instrText xml:space="preserve"> PAGEREF _Toc122982116 \h </w:instrText>
      </w:r>
      <w:r>
        <w:fldChar w:fldCharType="separate"/>
      </w:r>
      <w:r>
        <w:t>28</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"_Toc122982117" </w:instrText>
      </w:r>
      <w:r>
        <w:fldChar w:fldCharType="separate"/>
      </w:r>
      <w:r>
        <w:rPr>
          <w:rStyle w:val="30"/>
        </w:rPr>
        <w:t>Figure 22. Running FAST-CE</w:t>
      </w:r>
      <w:r>
        <w:tab/>
      </w:r>
      <w:r>
        <w:fldChar w:fldCharType="begin"/>
      </w:r>
      <w:r>
        <w:instrText xml:space="preserve"> PAGEREF _Toc122982117 \h </w:instrText>
      </w:r>
      <w:r>
        <w:fldChar w:fldCharType="separate"/>
      </w:r>
      <w:r>
        <w:t>29</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"_Toc122982118" </w:instrText>
      </w:r>
      <w:r>
        <w:fldChar w:fldCharType="separate"/>
      </w:r>
      <w:r>
        <w:rPr>
          <w:rStyle w:val="30"/>
        </w:rPr>
        <w:t xml:space="preserve">Figure 23. </w:t>
      </w:r>
      <w:r>
        <w:rPr>
          <w:rStyle w:val="30"/>
          <w:lang w:bidi="en-US"/>
        </w:rPr>
        <w:t>Data Invalid Warnings</w:t>
      </w:r>
      <w:r>
        <w:tab/>
      </w:r>
      <w:r>
        <w:fldChar w:fldCharType="begin"/>
      </w:r>
      <w:r>
        <w:instrText xml:space="preserve"> PAGEREF _Toc122982118 \h </w:instrText>
      </w:r>
      <w:r>
        <w:fldChar w:fldCharType="separate"/>
      </w:r>
      <w:r>
        <w:t>30</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"_Toc122982119" </w:instrText>
      </w:r>
      <w:r>
        <w:fldChar w:fldCharType="separate"/>
      </w:r>
      <w:r>
        <w:rPr>
          <w:rStyle w:val="30"/>
        </w:rPr>
        <w:t xml:space="preserve">Figure 24. </w:t>
      </w:r>
      <w:r>
        <w:rPr>
          <w:rStyle w:val="30"/>
          <w:lang w:bidi="en-US"/>
        </w:rPr>
        <w:t>Data Unreasonable Warnings</w:t>
      </w:r>
      <w:r>
        <w:tab/>
      </w:r>
      <w:r>
        <w:fldChar w:fldCharType="begin"/>
      </w:r>
      <w:r>
        <w:instrText xml:space="preserve"> PAGEREF _Toc122982119 \h </w:instrText>
      </w:r>
      <w:r>
        <w:fldChar w:fldCharType="separate"/>
      </w:r>
      <w:r>
        <w:t>30</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"_Toc122982120" </w:instrText>
      </w:r>
      <w:r>
        <w:fldChar w:fldCharType="separate"/>
      </w:r>
      <w:r>
        <w:rPr>
          <w:rStyle w:val="30"/>
          <w:rFonts w:eastAsia="黑体" w:cstheme="majorBidi"/>
          <w:i/>
        </w:rPr>
        <w:t>Figure 25. Acceptable data tips</w:t>
      </w:r>
      <w:r>
        <w:tab/>
      </w:r>
      <w:r>
        <w:fldChar w:fldCharType="begin"/>
      </w:r>
      <w:r>
        <w:instrText xml:space="preserve"> PAGEREF _Toc122982120 \h </w:instrText>
      </w:r>
      <w:r>
        <w:fldChar w:fldCharType="separate"/>
      </w:r>
      <w:r>
        <w:t>31</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"_Toc122982121" </w:instrText>
      </w:r>
      <w:r>
        <w:fldChar w:fldCharType="separate"/>
      </w:r>
      <w:r>
        <w:rPr>
          <w:rStyle w:val="30"/>
        </w:rPr>
        <w:t>Figure 26. Data Viewer of the FAST-CE results</w:t>
      </w:r>
      <w:r>
        <w:tab/>
      </w:r>
      <w:r>
        <w:fldChar w:fldCharType="begin"/>
      </w:r>
      <w:r>
        <w:instrText xml:space="preserve"> PAGEREF _Toc122982121 \h </w:instrText>
      </w:r>
      <w:r>
        <w:fldChar w:fldCharType="separate"/>
      </w:r>
      <w:r>
        <w:t>33</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"_Toc122982122" </w:instrText>
      </w:r>
      <w:r>
        <w:fldChar w:fldCharType="separate"/>
      </w:r>
      <w:r>
        <w:rPr>
          <w:rStyle w:val="30"/>
        </w:rPr>
        <w:t>Figure 27. Map view of FAST-CE results</w:t>
      </w:r>
      <w:r>
        <w:tab/>
      </w:r>
      <w:r>
        <w:fldChar w:fldCharType="begin"/>
      </w:r>
      <w:r>
        <w:instrText xml:space="preserve"> PAGEREF _Toc122982122 \h </w:instrText>
      </w:r>
      <w:r>
        <w:fldChar w:fldCharType="separate"/>
      </w:r>
      <w:r>
        <w:t>34</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"_Toc122982123" </w:instrText>
      </w:r>
      <w:r>
        <w:fldChar w:fldCharType="separate"/>
      </w:r>
      <w:r>
        <w:rPr>
          <w:rStyle w:val="30"/>
        </w:rPr>
        <w:t>Figure 28. 2D plot</w:t>
      </w:r>
      <w:r>
        <w:tab/>
      </w:r>
      <w:r>
        <w:fldChar w:fldCharType="begin"/>
      </w:r>
      <w:r>
        <w:instrText xml:space="preserve"> PAGEREF _Toc122982123 \h </w:instrText>
      </w:r>
      <w:r>
        <w:fldChar w:fldCharType="separate"/>
      </w:r>
      <w:r>
        <w:t>35</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"_Toc122982124" </w:instrText>
      </w:r>
      <w:r>
        <w:fldChar w:fldCharType="separate"/>
      </w:r>
      <w:r>
        <w:rPr>
          <w:rStyle w:val="30"/>
        </w:rPr>
        <w:t>Figure 29. 3D plot</w:t>
      </w:r>
      <w:r>
        <w:tab/>
      </w:r>
      <w:r>
        <w:fldChar w:fldCharType="begin"/>
      </w:r>
      <w:r>
        <w:instrText xml:space="preserve"> PAGEREF _Toc122982124 \h </w:instrText>
      </w:r>
      <w:r>
        <w:fldChar w:fldCharType="separate"/>
      </w:r>
      <w:r>
        <w:t>36</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"_Toc122982125" </w:instrText>
      </w:r>
      <w:r>
        <w:fldChar w:fldCharType="separate"/>
      </w:r>
      <w:r>
        <w:rPr>
          <w:rStyle w:val="30"/>
        </w:rPr>
        <w:t>Figure 30. Configure color legend</w:t>
      </w:r>
      <w:r>
        <w:tab/>
      </w:r>
      <w:r>
        <w:fldChar w:fldCharType="begin"/>
      </w:r>
      <w:r>
        <w:instrText xml:space="preserve"> PAGEREF _Toc122982125 \h </w:instrText>
      </w:r>
      <w:r>
        <w:fldChar w:fldCharType="separate"/>
      </w:r>
      <w:r>
        <w:t>36</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"_Toc122982126" </w:instrText>
      </w:r>
      <w:r>
        <w:fldChar w:fldCharType="separate"/>
      </w:r>
      <w:r>
        <w:rPr>
          <w:rStyle w:val="30"/>
        </w:rPr>
        <w:t>Figure 31. Show concentration value of base/control cases</w:t>
      </w:r>
      <w:r>
        <w:tab/>
      </w:r>
      <w:r>
        <w:fldChar w:fldCharType="begin"/>
      </w:r>
      <w:r>
        <w:instrText xml:space="preserve"> PAGEREF _Toc122982126 \h </w:instrText>
      </w:r>
      <w:r>
        <w:fldChar w:fldCharType="separate"/>
      </w:r>
      <w:r>
        <w:t>37</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"_Toc122982127" </w:instrText>
      </w:r>
      <w:r>
        <w:fldChar w:fldCharType="separate"/>
      </w:r>
      <w:r>
        <w:rPr>
          <w:rStyle w:val="30"/>
        </w:rPr>
        <w:t>Figure 32. Show response value of base/control cases</w:t>
      </w:r>
      <w:r>
        <w:tab/>
      </w:r>
      <w:r>
        <w:fldChar w:fldCharType="begin"/>
      </w:r>
      <w:r>
        <w:instrText xml:space="preserve"> PAGEREF _Toc122982127 \h </w:instrText>
      </w:r>
      <w:r>
        <w:fldChar w:fldCharType="separate"/>
      </w:r>
      <w:r>
        <w:t>38</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"_Toc122982128" </w:instrText>
      </w:r>
      <w:r>
        <w:fldChar w:fldCharType="separate"/>
      </w:r>
      <w:r>
        <w:rPr>
          <w:rStyle w:val="30"/>
        </w:rPr>
        <w:t>Figure 33. Show multiple plots</w:t>
      </w:r>
      <w:r>
        <w:tab/>
      </w:r>
      <w:r>
        <w:fldChar w:fldCharType="begin"/>
      </w:r>
      <w:r>
        <w:instrText xml:space="preserve"> PAGEREF _Toc122982128 \h </w:instrText>
      </w:r>
      <w:r>
        <w:fldChar w:fldCharType="separate"/>
      </w:r>
      <w:r>
        <w:t>38</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"_Toc122982129" </w:instrText>
      </w:r>
      <w:r>
        <w:fldChar w:fldCharType="separate"/>
      </w:r>
      <w:r>
        <w:rPr>
          <w:rStyle w:val="30"/>
        </w:rPr>
        <w:t>Figure 34. Customize control factors and displaying results</w:t>
      </w:r>
      <w:r>
        <w:tab/>
      </w:r>
      <w:r>
        <w:fldChar w:fldCharType="begin"/>
      </w:r>
      <w:r>
        <w:instrText xml:space="preserve"> PAGEREF _Toc122982129 \h </w:instrText>
      </w:r>
      <w:r>
        <w:fldChar w:fldCharType="separate"/>
      </w:r>
      <w:r>
        <w:t>39</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"_Toc122982130" </w:instrText>
      </w:r>
      <w:r>
        <w:fldChar w:fldCharType="separate"/>
      </w:r>
      <w:r>
        <w:rPr>
          <w:rStyle w:val="30"/>
        </w:rPr>
        <w:t xml:space="preserve">Figure 35. </w:t>
      </w:r>
      <w:r>
        <w:rPr>
          <w:rStyle w:val="30"/>
          <w:rFonts w:cs="Times New Roman"/>
          <w:lang w:val="zh-CN"/>
        </w:rPr>
        <w:t>Set the Max Slider Bar Value.</w:t>
      </w:r>
      <w:r>
        <w:tab/>
      </w:r>
      <w:r>
        <w:fldChar w:fldCharType="begin"/>
      </w:r>
      <w:r>
        <w:instrText xml:space="preserve"> PAGEREF _Toc122982130 \h </w:instrText>
      </w:r>
      <w:r>
        <w:fldChar w:fldCharType="separate"/>
      </w:r>
      <w:r>
        <w:t>40</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"_Toc122982131" </w:instrText>
      </w:r>
      <w:r>
        <w:fldChar w:fldCharType="separate"/>
      </w:r>
      <w:r>
        <w:rPr>
          <w:rStyle w:val="30"/>
        </w:rPr>
        <w:t>Figure 36. Group/combine specific factors</w:t>
      </w:r>
      <w:r>
        <w:tab/>
      </w:r>
      <w:r>
        <w:fldChar w:fldCharType="begin"/>
      </w:r>
      <w:r>
        <w:instrText xml:space="preserve"> PAGEREF _Toc122982131 \h </w:instrText>
      </w:r>
      <w:r>
        <w:fldChar w:fldCharType="separate"/>
      </w:r>
      <w:r>
        <w:t>40</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"_Toc122982132" </w:instrText>
      </w:r>
      <w:r>
        <w:fldChar w:fldCharType="separate"/>
      </w:r>
      <w:r>
        <w:rPr>
          <w:rStyle w:val="30"/>
        </w:rPr>
        <w:t>Figure 37. Pre-defined control filter</w:t>
      </w:r>
      <w:r>
        <w:tab/>
      </w:r>
      <w:r>
        <w:fldChar w:fldCharType="begin"/>
      </w:r>
      <w:r>
        <w:instrText xml:space="preserve"> PAGEREF _Toc122982132 \h </w:instrText>
      </w:r>
      <w:r>
        <w:fldChar w:fldCharType="separate"/>
      </w:r>
      <w:r>
        <w:t>41</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"_Toc122982133" </w:instrText>
      </w:r>
      <w:r>
        <w:fldChar w:fldCharType="separate"/>
      </w:r>
      <w:r>
        <w:rPr>
          <w:rStyle w:val="30"/>
        </w:rPr>
        <w:t>Figure 38. User-defined control method</w:t>
      </w:r>
      <w:r>
        <w:tab/>
      </w:r>
      <w:r>
        <w:fldChar w:fldCharType="begin"/>
      </w:r>
      <w:r>
        <w:instrText xml:space="preserve"> PAGEREF _Toc122982133 \h </w:instrText>
      </w:r>
      <w:r>
        <w:fldChar w:fldCharType="separate"/>
      </w:r>
      <w:r>
        <w:t>42</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"_Toc122982134" </w:instrText>
      </w:r>
      <w:r>
        <w:fldChar w:fldCharType="separate"/>
      </w:r>
      <w:r>
        <w:rPr>
          <w:rStyle w:val="30"/>
          <w:rFonts w:eastAsia="黑体" w:cstheme="majorBidi"/>
          <w:i/>
        </w:rPr>
        <w:t>Figure 39. Edit the Model Domain</w:t>
      </w:r>
      <w:r>
        <w:tab/>
      </w:r>
      <w:r>
        <w:fldChar w:fldCharType="begin"/>
      </w:r>
      <w:r>
        <w:instrText xml:space="preserve"> PAGEREF _Toc122982134 \h </w:instrText>
      </w:r>
      <w:r>
        <w:fldChar w:fldCharType="separate"/>
      </w:r>
      <w:r>
        <w:t>43</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"_Toc122982135" </w:instrText>
      </w:r>
      <w:r>
        <w:fldChar w:fldCharType="separate"/>
      </w:r>
      <w:r>
        <w:rPr>
          <w:rStyle w:val="30"/>
        </w:rPr>
        <w:t>Figure 40. Configure Color and Size of Monitor Points</w:t>
      </w:r>
      <w:r>
        <w:tab/>
      </w:r>
      <w:r>
        <w:fldChar w:fldCharType="begin"/>
      </w:r>
      <w:r>
        <w:instrText xml:space="preserve"> PAGEREF _Toc122982135 \h </w:instrText>
      </w:r>
      <w:r>
        <w:fldChar w:fldCharType="separate"/>
      </w:r>
      <w:r>
        <w:t>44</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"_Toc122982136" </w:instrText>
      </w:r>
      <w:r>
        <w:fldChar w:fldCharType="separate"/>
      </w:r>
      <w:r>
        <w:rPr>
          <w:rStyle w:val="30"/>
        </w:rPr>
        <w:t>Figure 41. Compare the Selected Scenarios</w:t>
      </w:r>
      <w:r>
        <w:tab/>
      </w:r>
      <w:r>
        <w:fldChar w:fldCharType="begin"/>
      </w:r>
      <w:r>
        <w:instrText xml:space="preserve"> PAGEREF _Toc122982136 \h </w:instrText>
      </w:r>
      <w:r>
        <w:fldChar w:fldCharType="separate"/>
      </w:r>
      <w:r>
        <w:t>44</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"_Toc122982137" </w:instrText>
      </w:r>
      <w:r>
        <w:fldChar w:fldCharType="separate"/>
      </w:r>
      <w:r>
        <w:rPr>
          <w:rStyle w:val="30"/>
          <w:rFonts w:eastAsia="黑体" w:cstheme="majorBidi"/>
          <w:i/>
        </w:rPr>
        <w:t>Figure 42. Display VNA Results</w:t>
      </w:r>
      <w:r>
        <w:tab/>
      </w:r>
      <w:r>
        <w:fldChar w:fldCharType="begin"/>
      </w:r>
      <w:r>
        <w:instrText xml:space="preserve"> PAGEREF _Toc122982137 \h </w:instrText>
      </w:r>
      <w:r>
        <w:fldChar w:fldCharType="separate"/>
      </w:r>
      <w:r>
        <w:t>45</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"_Toc122982138" </w:instrText>
      </w:r>
      <w:r>
        <w:fldChar w:fldCharType="separate"/>
      </w:r>
      <w:r>
        <w:rPr>
          <w:rStyle w:val="30"/>
          <w:rFonts w:eastAsia="黑体" w:cstheme="majorBidi"/>
          <w:i/>
        </w:rPr>
        <w:t>Figure 43</w:t>
      </w:r>
      <w:r>
        <w:rPr>
          <w:rStyle w:val="30"/>
          <w:rFonts w:eastAsia="黑体" w:cstheme="majorBidi"/>
          <w:b/>
          <w:i/>
        </w:rPr>
        <w:t>.</w:t>
      </w:r>
      <w:r>
        <w:rPr>
          <w:rStyle w:val="30"/>
          <w:rFonts w:eastAsia="黑体" w:cstheme="majorBidi"/>
          <w:i/>
        </w:rPr>
        <w:t xml:space="preserve"> Output contribution table</w:t>
      </w:r>
      <w:r>
        <w:tab/>
      </w:r>
      <w:r>
        <w:fldChar w:fldCharType="begin"/>
      </w:r>
      <w:r>
        <w:instrText xml:space="preserve"> PAGEREF _Toc122982138 \h </w:instrText>
      </w:r>
      <w:r>
        <w:fldChar w:fldCharType="separate"/>
      </w:r>
      <w:r>
        <w:t>45</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"_Toc122982139" </w:instrText>
      </w:r>
      <w:r>
        <w:fldChar w:fldCharType="separate"/>
      </w:r>
      <w:r>
        <w:rPr>
          <w:rStyle w:val="30"/>
          <w:rFonts w:eastAsia="黑体" w:cstheme="majorBidi"/>
          <w:i/>
        </w:rPr>
        <w:t>Figure 44</w:t>
      </w:r>
      <w:r>
        <w:rPr>
          <w:rStyle w:val="30"/>
          <w:rFonts w:eastAsia="黑体" w:cstheme="majorBidi"/>
          <w:b/>
          <w:i/>
        </w:rPr>
        <w:t>.</w:t>
      </w:r>
      <w:r>
        <w:rPr>
          <w:rStyle w:val="30"/>
          <w:rFonts w:eastAsia="黑体" w:cstheme="majorBidi"/>
          <w:i/>
        </w:rPr>
        <w:t xml:space="preserve"> Output summary table of contributions to all O</w:t>
      </w:r>
      <w:r>
        <w:rPr>
          <w:rStyle w:val="30"/>
          <w:rFonts w:eastAsia="黑体" w:cstheme="majorBidi"/>
          <w:i/>
          <w:vertAlign w:val="subscript"/>
        </w:rPr>
        <w:t>3</w:t>
      </w:r>
      <w:r>
        <w:rPr>
          <w:rStyle w:val="30"/>
          <w:rFonts w:eastAsia="黑体" w:cstheme="majorBidi"/>
          <w:i/>
        </w:rPr>
        <w:t xml:space="preserve"> monitors</w:t>
      </w:r>
      <w:r>
        <w:tab/>
      </w:r>
      <w:r>
        <w:fldChar w:fldCharType="begin"/>
      </w:r>
      <w:r>
        <w:instrText xml:space="preserve"> PAGEREF _Toc122982139 \h </w:instrText>
      </w:r>
      <w:r>
        <w:fldChar w:fldCharType="separate"/>
      </w:r>
      <w:r>
        <w:t>46</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"_Toc122982140" </w:instrText>
      </w:r>
      <w:r>
        <w:fldChar w:fldCharType="separate"/>
      </w:r>
      <w:r>
        <w:rPr>
          <w:rStyle w:val="30"/>
          <w:rFonts w:eastAsia="黑体" w:cstheme="majorBidi"/>
          <w:i/>
        </w:rPr>
        <w:t>Figure 45</w:t>
      </w:r>
      <w:r>
        <w:rPr>
          <w:rStyle w:val="30"/>
          <w:rFonts w:eastAsia="黑体" w:cstheme="majorBidi"/>
          <w:b/>
          <w:i/>
        </w:rPr>
        <w:t>.</w:t>
      </w:r>
      <w:r>
        <w:rPr>
          <w:rStyle w:val="30"/>
          <w:rFonts w:eastAsia="黑体" w:cstheme="majorBidi"/>
          <w:i/>
        </w:rPr>
        <w:t xml:space="preserve"> Display the PM Species Value</w:t>
      </w:r>
      <w:r>
        <w:tab/>
      </w:r>
      <w:r>
        <w:fldChar w:fldCharType="begin"/>
      </w:r>
      <w:r>
        <w:instrText xml:space="preserve"> PAGEREF _Toc122982140 \h </w:instrText>
      </w:r>
      <w:r>
        <w:fldChar w:fldCharType="separate"/>
      </w:r>
      <w:r>
        <w:t>46</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"_Toc122982141" </w:instrText>
      </w:r>
      <w:r>
        <w:fldChar w:fldCharType="separate"/>
      </w:r>
      <w:r>
        <w:rPr>
          <w:rStyle w:val="30"/>
          <w:rFonts w:eastAsia="黑体" w:cstheme="majorBidi"/>
          <w:i/>
        </w:rPr>
        <w:t>Figure 46</w:t>
      </w:r>
      <w:r>
        <w:rPr>
          <w:rStyle w:val="30"/>
          <w:rFonts w:eastAsia="黑体" w:cstheme="majorBidi"/>
          <w:b/>
          <w:i/>
        </w:rPr>
        <w:t>.</w:t>
      </w:r>
      <w:r>
        <w:rPr>
          <w:rStyle w:val="30"/>
          <w:rFonts w:eastAsia="黑体" w:cstheme="majorBidi"/>
          <w:i/>
        </w:rPr>
        <w:t xml:space="preserve"> Enable EJ/Demographics Data Module</w:t>
      </w:r>
      <w:r>
        <w:tab/>
      </w:r>
      <w:r>
        <w:fldChar w:fldCharType="begin"/>
      </w:r>
      <w:r>
        <w:instrText xml:space="preserve"> PAGEREF _Toc122982141 \h </w:instrText>
      </w:r>
      <w:r>
        <w:fldChar w:fldCharType="separate"/>
      </w:r>
      <w:r>
        <w:t>47</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"_Toc122982142" </w:instrText>
      </w:r>
      <w:r>
        <w:fldChar w:fldCharType="separate"/>
      </w:r>
      <w:r>
        <w:rPr>
          <w:rStyle w:val="30"/>
        </w:rPr>
        <w:t>Figure 47. "EJ/Demographics Data" Option in Right-click Menu</w:t>
      </w:r>
      <w:r>
        <w:tab/>
      </w:r>
      <w:r>
        <w:fldChar w:fldCharType="begin"/>
      </w:r>
      <w:r>
        <w:instrText xml:space="preserve"> PAGEREF _Toc122982142 \h </w:instrText>
      </w:r>
      <w:r>
        <w:fldChar w:fldCharType="separate"/>
      </w:r>
      <w:r>
        <w:t>47</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"_Toc122982143" </w:instrText>
      </w:r>
      <w:r>
        <w:fldChar w:fldCharType="separate"/>
      </w:r>
      <w:r>
        <w:rPr>
          <w:rStyle w:val="30"/>
          <w:rFonts w:eastAsia="黑体" w:cstheme="majorBidi"/>
          <w:i/>
        </w:rPr>
        <w:t>Figure 48</w:t>
      </w:r>
      <w:r>
        <w:rPr>
          <w:rStyle w:val="30"/>
          <w:rFonts w:eastAsia="黑体" w:cstheme="majorBidi"/>
          <w:b/>
          <w:i/>
        </w:rPr>
        <w:t>.</w:t>
      </w:r>
      <w:r>
        <w:rPr>
          <w:rStyle w:val="30"/>
          <w:rFonts w:eastAsia="黑体" w:cstheme="majorBidi"/>
          <w:i/>
        </w:rPr>
        <w:t xml:space="preserve"> EJ/Demographics Setting Plot</w:t>
      </w:r>
      <w:r>
        <w:tab/>
      </w:r>
      <w:r>
        <w:fldChar w:fldCharType="begin"/>
      </w:r>
      <w:r>
        <w:instrText xml:space="preserve"> PAGEREF _Toc122982143 \h </w:instrText>
      </w:r>
      <w:r>
        <w:fldChar w:fldCharType="separate"/>
      </w:r>
      <w:r>
        <w:t>48</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"_Toc122982144" </w:instrText>
      </w:r>
      <w:r>
        <w:fldChar w:fldCharType="separate"/>
      </w:r>
      <w:r>
        <w:rPr>
          <w:rStyle w:val="30"/>
        </w:rPr>
        <w:t>Figure 49. Emission Control 1</w:t>
      </w:r>
      <w:r>
        <w:tab/>
      </w:r>
      <w:r>
        <w:fldChar w:fldCharType="begin"/>
      </w:r>
      <w:r>
        <w:instrText xml:space="preserve"> PAGEREF _Toc122982144 \h </w:instrText>
      </w:r>
      <w:r>
        <w:fldChar w:fldCharType="separate"/>
      </w:r>
      <w:r>
        <w:t>49</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"_Toc122982145" </w:instrText>
      </w:r>
      <w:r>
        <w:fldChar w:fldCharType="separate"/>
      </w:r>
      <w:r>
        <w:rPr>
          <w:rStyle w:val="30"/>
        </w:rPr>
        <w:t>Figure 50. Emission Control 2</w:t>
      </w:r>
      <w:r>
        <w:tab/>
      </w:r>
      <w:r>
        <w:fldChar w:fldCharType="begin"/>
      </w:r>
      <w:r>
        <w:instrText xml:space="preserve"> PAGEREF _Toc122982145 \h </w:instrText>
      </w:r>
      <w:r>
        <w:fldChar w:fldCharType="separate"/>
      </w:r>
      <w:r>
        <w:t>50</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"_Toc122982146" </w:instrText>
      </w:r>
      <w:r>
        <w:fldChar w:fldCharType="separate"/>
      </w:r>
      <w:r>
        <w:rPr>
          <w:rStyle w:val="30"/>
        </w:rPr>
        <w:t>Figure 51. Source Contribution 1</w:t>
      </w:r>
      <w:r>
        <w:tab/>
      </w:r>
      <w:r>
        <w:fldChar w:fldCharType="begin"/>
      </w:r>
      <w:r>
        <w:instrText xml:space="preserve"> PAGEREF _Toc122982146 \h </w:instrText>
      </w:r>
      <w:r>
        <w:fldChar w:fldCharType="separate"/>
      </w:r>
      <w:r>
        <w:t>51</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"_Toc122982147" </w:instrText>
      </w:r>
      <w:r>
        <w:fldChar w:fldCharType="separate"/>
      </w:r>
      <w:r>
        <w:rPr>
          <w:rStyle w:val="30"/>
        </w:rPr>
        <w:t>Figure 52. Source Contribution 2</w:t>
      </w:r>
      <w:r>
        <w:tab/>
      </w:r>
      <w:r>
        <w:fldChar w:fldCharType="begin"/>
      </w:r>
      <w:r>
        <w:instrText xml:space="preserve"> PAGEREF _Toc122982147 \h </w:instrText>
      </w:r>
      <w:r>
        <w:fldChar w:fldCharType="separate"/>
      </w:r>
      <w:r>
        <w:t>52</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"_Toc122982148" </w:instrText>
      </w:r>
      <w:r>
        <w:fldChar w:fldCharType="separate"/>
      </w:r>
      <w:r>
        <w:rPr>
          <w:rStyle w:val="30"/>
        </w:rPr>
        <w:t>Figure 53. Select receptor regions of interest</w:t>
      </w:r>
      <w:r>
        <w:tab/>
      </w:r>
      <w:r>
        <w:fldChar w:fldCharType="begin"/>
      </w:r>
      <w:r>
        <w:instrText xml:space="preserve"> PAGEREF _Toc122982148 \h </w:instrText>
      </w:r>
      <w:r>
        <w:fldChar w:fldCharType="separate"/>
      </w:r>
      <w:r>
        <w:t>53</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"_Toc122982149" </w:instrText>
      </w:r>
      <w:r>
        <w:fldChar w:fldCharType="separate"/>
      </w:r>
      <w:r>
        <w:rPr>
          <w:rStyle w:val="30"/>
        </w:rPr>
        <w:t>Figure 54. Add new receptor regions</w:t>
      </w:r>
      <w:r>
        <w:tab/>
      </w:r>
      <w:r>
        <w:fldChar w:fldCharType="begin"/>
      </w:r>
      <w:r>
        <w:instrText xml:space="preserve"> PAGEREF _Toc122982149 \h </w:instrText>
      </w:r>
      <w:r>
        <w:fldChar w:fldCharType="separate"/>
      </w:r>
      <w:r>
        <w:t>53</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"_Toc122982150" </w:instrText>
      </w:r>
      <w:r>
        <w:fldChar w:fldCharType="separate"/>
      </w:r>
      <w:r>
        <w:rPr>
          <w:rStyle w:val="30"/>
        </w:rPr>
        <w:t>Figure 55. QA/Validate module</w:t>
      </w:r>
      <w:r>
        <w:tab/>
      </w:r>
      <w:r>
        <w:fldChar w:fldCharType="begin"/>
      </w:r>
      <w:r>
        <w:instrText xml:space="preserve"> PAGEREF _Toc122982150 \h </w:instrText>
      </w:r>
      <w:r>
        <w:fldChar w:fldCharType="separate"/>
      </w:r>
      <w:r>
        <w:t>54</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"_Toc122982151" </w:instrText>
      </w:r>
      <w:r>
        <w:fldChar w:fldCharType="separate"/>
      </w:r>
      <w:r>
        <w:rPr>
          <w:rStyle w:val="30"/>
        </w:rPr>
        <w:t xml:space="preserve">Figure 56. Detailed </w:t>
      </w:r>
      <w:r>
        <w:rPr>
          <w:rStyle w:val="30"/>
          <w:rFonts w:cs="Times New Roman"/>
        </w:rPr>
        <w:t>data results and configuration</w:t>
      </w:r>
      <w:r>
        <w:tab/>
      </w:r>
      <w:r>
        <w:fldChar w:fldCharType="begin"/>
      </w:r>
      <w:r>
        <w:instrText xml:space="preserve"> PAGEREF _Toc122982151 \h </w:instrText>
      </w:r>
      <w:r>
        <w:fldChar w:fldCharType="separate"/>
      </w:r>
      <w:r>
        <w:t>54</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"_Toc122982152" </w:instrText>
      </w:r>
      <w:r>
        <w:fldChar w:fldCharType="separate"/>
      </w:r>
      <w:r>
        <w:rPr>
          <w:rStyle w:val="30"/>
        </w:rPr>
        <w:t xml:space="preserve">Figure 57. </w:t>
      </w:r>
      <w:r>
        <w:rPr>
          <w:rStyle w:val="30"/>
          <w:lang w:val="zh-CN"/>
        </w:rPr>
        <w:t>Steps for GCAM Scenario Builder</w:t>
      </w:r>
      <w:r>
        <w:tab/>
      </w:r>
      <w:r>
        <w:fldChar w:fldCharType="begin"/>
      </w:r>
      <w:r>
        <w:instrText xml:space="preserve"> PAGEREF _Toc122982152 \h </w:instrText>
      </w:r>
      <w:r>
        <w:fldChar w:fldCharType="separate"/>
      </w:r>
      <w:r>
        <w:t>55</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"_Toc122982153" </w:instrText>
      </w:r>
      <w:r>
        <w:fldChar w:fldCharType="separate"/>
      </w:r>
      <w:r>
        <w:rPr>
          <w:rStyle w:val="30"/>
        </w:rPr>
        <w:t xml:space="preserve">Figure 58. </w:t>
      </w:r>
      <w:r>
        <w:rPr>
          <w:rStyle w:val="30"/>
          <w:lang w:val="zh-CN"/>
        </w:rPr>
        <w:t>Emissions output from GCAM</w:t>
      </w:r>
      <w:r>
        <w:tab/>
      </w:r>
      <w:r>
        <w:fldChar w:fldCharType="begin"/>
      </w:r>
      <w:r>
        <w:instrText xml:space="preserve"> PAGEREF _Toc122982153 \h </w:instrText>
      </w:r>
      <w:r>
        <w:fldChar w:fldCharType="separate"/>
      </w:r>
      <w:r>
        <w:t>56</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"_Toc122982154" </w:instrText>
      </w:r>
      <w:r>
        <w:fldChar w:fldCharType="separate"/>
      </w:r>
      <w:r>
        <w:rPr>
          <w:rStyle w:val="30"/>
        </w:rPr>
        <w:t>Figure 59. Create a new O3 project</w:t>
      </w:r>
      <w:r>
        <w:tab/>
      </w:r>
      <w:r>
        <w:fldChar w:fldCharType="begin"/>
      </w:r>
      <w:r>
        <w:instrText xml:space="preserve"> PAGEREF _Toc122982154 \h </w:instrText>
      </w:r>
      <w:r>
        <w:fldChar w:fldCharType="separate"/>
      </w:r>
      <w:r>
        <w:t>57</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"_Toc122982155" </w:instrText>
      </w:r>
      <w:r>
        <w:fldChar w:fldCharType="separate"/>
      </w:r>
      <w:r>
        <w:rPr>
          <w:rStyle w:val="30"/>
        </w:rPr>
        <w:t>Figure 60. Source Contribution Method Option for O</w:t>
      </w:r>
      <w:r>
        <w:rPr>
          <w:rStyle w:val="30"/>
          <w:vertAlign w:val="subscript"/>
        </w:rPr>
        <w:t>3</w:t>
      </w:r>
      <w:r>
        <w:rPr>
          <w:rStyle w:val="30"/>
        </w:rPr>
        <w:t>-MDA8 analysis</w:t>
      </w:r>
      <w:r>
        <w:tab/>
      </w:r>
      <w:r>
        <w:fldChar w:fldCharType="begin"/>
      </w:r>
      <w:r>
        <w:instrText xml:space="preserve"> PAGEREF _Toc122982155 \h </w:instrText>
      </w:r>
      <w:r>
        <w:fldChar w:fldCharType="separate"/>
      </w:r>
      <w:r>
        <w:t>58</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"_Toc122982156" </w:instrText>
      </w:r>
      <w:r>
        <w:fldChar w:fldCharType="separate"/>
      </w:r>
      <w:r>
        <w:rPr>
          <w:rStyle w:val="30"/>
        </w:rPr>
        <w:t>Figure 61. Receptor Region File</w:t>
      </w:r>
      <w:r>
        <w:tab/>
      </w:r>
      <w:r>
        <w:fldChar w:fldCharType="begin"/>
      </w:r>
      <w:r>
        <w:instrText xml:space="preserve"> PAGEREF _Toc122982156 \h </w:instrText>
      </w:r>
      <w:r>
        <w:fldChar w:fldCharType="separate"/>
      </w:r>
      <w:r>
        <w:t>59</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"_Toc122982157" </w:instrText>
      </w:r>
      <w:r>
        <w:fldChar w:fldCharType="separate"/>
      </w:r>
      <w:r>
        <w:rPr>
          <w:rStyle w:val="30"/>
        </w:rPr>
        <w:t>Figure 62. Mapping File</w:t>
      </w:r>
      <w:r>
        <w:tab/>
      </w:r>
      <w:r>
        <w:fldChar w:fldCharType="begin"/>
      </w:r>
      <w:r>
        <w:instrText xml:space="preserve"> PAGEREF _Toc122982157 \h </w:instrText>
      </w:r>
      <w:r>
        <w:fldChar w:fldCharType="separate"/>
      </w:r>
      <w:r>
        <w:t>59</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"_Toc122982158" </w:instrText>
      </w:r>
      <w:r>
        <w:fldChar w:fldCharType="separate"/>
      </w:r>
      <w:r>
        <w:rPr>
          <w:rStyle w:val="30"/>
        </w:rPr>
        <w:t>Figure 63. Emission &amp; Spatial Field Input Option for O</w:t>
      </w:r>
      <w:r>
        <w:rPr>
          <w:rStyle w:val="30"/>
          <w:vertAlign w:val="subscript"/>
        </w:rPr>
        <w:t>3</w:t>
      </w:r>
      <w:r>
        <w:rPr>
          <w:rStyle w:val="30"/>
        </w:rPr>
        <w:t>-MDA8 analysis</w:t>
      </w:r>
      <w:r>
        <w:tab/>
      </w:r>
      <w:r>
        <w:fldChar w:fldCharType="begin"/>
      </w:r>
      <w:r>
        <w:instrText xml:space="preserve"> PAGEREF _Toc122982158 \h </w:instrText>
      </w:r>
      <w:r>
        <w:fldChar w:fldCharType="separate"/>
      </w:r>
      <w:r>
        <w:t>60</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"_Toc122982159" </w:instrText>
      </w:r>
      <w:r>
        <w:fldChar w:fldCharType="separate"/>
      </w:r>
      <w:r>
        <w:rPr>
          <w:rStyle w:val="30"/>
        </w:rPr>
        <w:t>Figure 64. Baseline Spatial File</w:t>
      </w:r>
      <w:r>
        <w:tab/>
      </w:r>
      <w:r>
        <w:fldChar w:fldCharType="begin"/>
      </w:r>
      <w:r>
        <w:instrText xml:space="preserve"> PAGEREF _Toc122982159 \h </w:instrText>
      </w:r>
      <w:r>
        <w:fldChar w:fldCharType="separate"/>
      </w:r>
      <w:r>
        <w:t>61</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"_Toc122982160" </w:instrText>
      </w:r>
      <w:r>
        <w:fldChar w:fldCharType="separate"/>
      </w:r>
      <w:r>
        <w:rPr>
          <w:rStyle w:val="30"/>
        </w:rPr>
        <w:t>Figure 65. Cases &amp; Emission Files</w:t>
      </w:r>
      <w:r>
        <w:tab/>
      </w:r>
      <w:r>
        <w:fldChar w:fldCharType="begin"/>
      </w:r>
      <w:r>
        <w:instrText xml:space="preserve"> PAGEREF _Toc122982160 \h </w:instrText>
      </w:r>
      <w:r>
        <w:fldChar w:fldCharType="separate"/>
      </w:r>
      <w:r>
        <w:t>61</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"_Toc122982161" </w:instrText>
      </w:r>
      <w:r>
        <w:fldChar w:fldCharType="separate"/>
      </w:r>
      <w:r>
        <w:rPr>
          <w:rStyle w:val="30"/>
        </w:rPr>
        <w:t>Figure 66. An example of “Emission File”</w:t>
      </w:r>
      <w:r>
        <w:tab/>
      </w:r>
      <w:r>
        <w:fldChar w:fldCharType="begin"/>
      </w:r>
      <w:r>
        <w:instrText xml:space="preserve"> PAGEREF _Toc122982161 \h </w:instrText>
      </w:r>
      <w:r>
        <w:fldChar w:fldCharType="separate"/>
      </w:r>
      <w:r>
        <w:t>62</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"_Toc122982162" </w:instrText>
      </w:r>
      <w:r>
        <w:fldChar w:fldCharType="separate"/>
      </w:r>
      <w:r>
        <w:rPr>
          <w:rStyle w:val="30"/>
        </w:rPr>
        <w:t>Figure 67. QA/Validation Input Option for O</w:t>
      </w:r>
      <w:r>
        <w:rPr>
          <w:rStyle w:val="30"/>
          <w:vertAlign w:val="subscript"/>
        </w:rPr>
        <w:t>3</w:t>
      </w:r>
      <w:r>
        <w:rPr>
          <w:rStyle w:val="30"/>
        </w:rPr>
        <w:t>-MDA8 analysis</w:t>
      </w:r>
      <w:r>
        <w:tab/>
      </w:r>
      <w:r>
        <w:fldChar w:fldCharType="begin"/>
      </w:r>
      <w:r>
        <w:instrText xml:space="preserve"> PAGEREF _Toc122982162 \h </w:instrText>
      </w:r>
      <w:r>
        <w:fldChar w:fldCharType="separate"/>
      </w:r>
      <w:r>
        <w:t>62</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"_Toc122982163" </w:instrText>
      </w:r>
      <w:r>
        <w:fldChar w:fldCharType="separate"/>
      </w:r>
      <w:r>
        <w:rPr>
          <w:rStyle w:val="30"/>
        </w:rPr>
        <w:t>Figure 68. Validation Configuration File</w:t>
      </w:r>
      <w:r>
        <w:tab/>
      </w:r>
      <w:r>
        <w:fldChar w:fldCharType="begin"/>
      </w:r>
      <w:r>
        <w:instrText xml:space="preserve"> PAGEREF _Toc122982163 \h </w:instrText>
      </w:r>
      <w:r>
        <w:fldChar w:fldCharType="separate"/>
      </w:r>
      <w:r>
        <w:t>62</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"_Toc122982164" </w:instrText>
      </w:r>
      <w:r>
        <w:fldChar w:fldCharType="separate"/>
      </w:r>
      <w:r>
        <w:rPr>
          <w:rStyle w:val="30"/>
        </w:rPr>
        <w:t>Figure 69. An example of “QA File”</w:t>
      </w:r>
      <w:r>
        <w:tab/>
      </w:r>
      <w:r>
        <w:fldChar w:fldCharType="begin"/>
      </w:r>
      <w:r>
        <w:instrText xml:space="preserve"> PAGEREF _Toc122982164 \h </w:instrText>
      </w:r>
      <w:r>
        <w:fldChar w:fldCharType="separate"/>
      </w:r>
      <w:r>
        <w:t>63</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"_Toc122982165" </w:instrText>
      </w:r>
      <w:r>
        <w:fldChar w:fldCharType="separate"/>
      </w:r>
      <w:r>
        <w:rPr>
          <w:rStyle w:val="30"/>
        </w:rPr>
        <w:t>Figure 70. Map results</w:t>
      </w:r>
      <w:r>
        <w:tab/>
      </w:r>
      <w:r>
        <w:fldChar w:fldCharType="begin"/>
      </w:r>
      <w:r>
        <w:instrText xml:space="preserve"> PAGEREF _Toc122982165 \h </w:instrText>
      </w:r>
      <w:r>
        <w:fldChar w:fldCharType="separate"/>
      </w:r>
      <w:r>
        <w:t>64</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"_Toc122982166" </w:instrText>
      </w:r>
      <w:r>
        <w:fldChar w:fldCharType="separate"/>
      </w:r>
      <w:r>
        <w:rPr>
          <w:rStyle w:val="30"/>
        </w:rPr>
        <w:t>Figure 71. Results of “Emission Control 1”</w:t>
      </w:r>
      <w:r>
        <w:tab/>
      </w:r>
      <w:r>
        <w:fldChar w:fldCharType="begin"/>
      </w:r>
      <w:r>
        <w:instrText xml:space="preserve"> PAGEREF _Toc122982166 \h </w:instrText>
      </w:r>
      <w:r>
        <w:fldChar w:fldCharType="separate"/>
      </w:r>
      <w:r>
        <w:t>64</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"_Toc122982167" </w:instrText>
      </w:r>
      <w:r>
        <w:fldChar w:fldCharType="separate"/>
      </w:r>
      <w:r>
        <w:rPr>
          <w:rStyle w:val="30"/>
        </w:rPr>
        <w:t>Figure 72. Results of QA/Validation</w:t>
      </w:r>
      <w:r>
        <w:tab/>
      </w:r>
      <w:r>
        <w:fldChar w:fldCharType="begin"/>
      </w:r>
      <w:r>
        <w:instrText xml:space="preserve"> PAGEREF _Toc122982167 \h </w:instrText>
      </w:r>
      <w:r>
        <w:fldChar w:fldCharType="separate"/>
      </w:r>
      <w:r>
        <w:t>65</w:t>
      </w:r>
      <w:r>
        <w:fldChar w:fldCharType="end"/>
      </w:r>
      <w:r>
        <w:fldChar w:fldCharType="end"/>
      </w:r>
    </w:p>
    <w:p>
      <w:pPr>
        <w:pStyle w:val="20"/>
        <w:tabs>
          <w:tab w:val="right" w:leader="dot" w:pos="8296"/>
        </w:tabs>
        <w:ind w:left="960" w:hanging="480"/>
        <w:rPr>
          <w:rFonts w:asciiTheme="minorHAnsi" w:hAnsiTheme="minorHAnsi" w:eastAsiaTheme="minorEastAsia"/>
          <w:kern w:val="2"/>
          <w:sz w:val="21"/>
        </w:rPr>
      </w:pPr>
      <w:r>
        <w:fldChar w:fldCharType="begin"/>
      </w:r>
      <w:r>
        <w:instrText xml:space="preserve"> HYPERLINK \l "_Toc122982168" </w:instrText>
      </w:r>
      <w:r>
        <w:fldChar w:fldCharType="separate"/>
      </w:r>
      <w:r>
        <w:rPr>
          <w:rStyle w:val="30"/>
        </w:rPr>
        <w:t>Figure 73. Data results</w:t>
      </w:r>
      <w:r>
        <w:tab/>
      </w:r>
      <w:r>
        <w:fldChar w:fldCharType="begin"/>
      </w:r>
      <w:r>
        <w:instrText xml:space="preserve"> PAGEREF _Toc122982168 \h </w:instrText>
      </w:r>
      <w:r>
        <w:fldChar w:fldCharType="separate"/>
      </w:r>
      <w:r>
        <w:t>66</w:t>
      </w:r>
      <w:r>
        <w:fldChar w:fldCharType="end"/>
      </w:r>
      <w:r>
        <w:fldChar w:fldCharType="end"/>
      </w:r>
    </w:p>
    <w:p>
      <w:pPr>
        <w:spacing w:line="360" w:lineRule="auto"/>
      </w:pPr>
      <w:r>
        <w:rPr>
          <w:rStyle w:val="30"/>
        </w:rPr>
        <w:fldChar w:fldCharType="end"/>
      </w:r>
    </w:p>
    <w:p>
      <w:pPr>
        <w:spacing w:line="360" w:lineRule="auto"/>
        <w:ind w:firstLine="240"/>
      </w:pPr>
    </w:p>
    <w:p>
      <w:pPr>
        <w:spacing w:line="360" w:lineRule="auto"/>
        <w:ind w:firstLine="240"/>
        <w:sectPr>
          <w:pgSz w:w="11906" w:h="16838"/>
          <w:pgMar w:top="1440" w:right="1800" w:bottom="1440" w:left="1800" w:header="708" w:footer="708" w:gutter="0"/>
          <w:pgNumType w:fmt="lowerRoman"/>
          <w:cols w:space="708" w:num="1"/>
          <w:docGrid w:linePitch="360" w:charSpace="0"/>
        </w:sectPr>
      </w:pPr>
    </w:p>
    <w:p>
      <w:pPr>
        <w:jc w:val="center"/>
        <w:rPr>
          <w:b/>
          <w:bCs/>
          <w:sz w:val="32"/>
          <w:szCs w:val="32"/>
        </w:rPr>
      </w:pPr>
      <w:r>
        <w:rPr>
          <w:b/>
          <w:bCs/>
          <w:sz w:val="32"/>
          <w:szCs w:val="32"/>
        </w:rPr>
        <w:t>Acronyms</w:t>
      </w:r>
    </w:p>
    <w:p>
      <w:pPr>
        <w:spacing w:line="480" w:lineRule="auto"/>
      </w:pPr>
      <w:r>
        <w:t>SA</w:t>
      </w:r>
      <w:r>
        <w:tab/>
      </w:r>
      <w:r>
        <w:tab/>
      </w:r>
      <w:r>
        <w:tab/>
      </w:r>
      <w:r>
        <w:tab/>
      </w:r>
      <w:r>
        <w:tab/>
      </w:r>
      <w:r>
        <w:tab/>
      </w:r>
      <w:r>
        <w:t xml:space="preserve">Source apportionment </w:t>
      </w:r>
    </w:p>
    <w:p>
      <w:pPr>
        <w:spacing w:line="480" w:lineRule="auto"/>
      </w:pPr>
      <w:r>
        <w:t>RSM</w:t>
      </w:r>
      <w:r>
        <w:tab/>
      </w:r>
      <w:r>
        <w:tab/>
      </w:r>
      <w:r>
        <w:tab/>
      </w:r>
      <w:r>
        <w:tab/>
      </w:r>
      <w:r>
        <w:tab/>
      </w:r>
      <w:r>
        <w:t xml:space="preserve">Response surface modeling technique </w:t>
      </w:r>
    </w:p>
    <w:p>
      <w:pPr>
        <w:spacing w:line="480" w:lineRule="auto"/>
      </w:pPr>
      <w:r>
        <w:t>OSAT</w:t>
      </w:r>
      <w:r>
        <w:tab/>
      </w:r>
      <w:r>
        <w:tab/>
      </w:r>
      <w:r>
        <w:tab/>
      </w:r>
      <w:r>
        <w:tab/>
      </w:r>
      <w:r>
        <w:tab/>
      </w:r>
      <w:r>
        <w:t>Ozone source apportionment technology</w:t>
      </w:r>
    </w:p>
    <w:p>
      <w:pPr>
        <w:spacing w:line="480" w:lineRule="auto"/>
      </w:pPr>
      <w:r>
        <w:t>PSAT</w:t>
      </w:r>
      <w:r>
        <w:tab/>
      </w:r>
      <w:r>
        <w:tab/>
      </w:r>
      <w:r>
        <w:tab/>
      </w:r>
      <w:r>
        <w:tab/>
      </w:r>
      <w:r>
        <w:tab/>
      </w:r>
      <w:r>
        <w:t>Particle source apportionment technology</w:t>
      </w:r>
    </w:p>
    <w:p>
      <w:pPr>
        <w:spacing w:line="480" w:lineRule="auto"/>
      </w:pPr>
      <w:r>
        <w:t>CAMx</w:t>
      </w:r>
      <w:r>
        <w:tab/>
      </w:r>
      <w:r>
        <w:tab/>
      </w:r>
      <w:r>
        <w:tab/>
      </w:r>
      <w:r>
        <w:tab/>
      </w:r>
      <w:r>
        <w:tab/>
      </w:r>
      <w:r>
        <w:t>Comprehensive Air Quality Model with Extensions</w:t>
      </w:r>
    </w:p>
    <w:p>
      <w:pPr>
        <w:spacing w:line="480" w:lineRule="auto"/>
      </w:pPr>
      <w:r>
        <w:t>ISAM</w:t>
      </w:r>
      <w:r>
        <w:tab/>
      </w:r>
      <w:r>
        <w:tab/>
      </w:r>
      <w:r>
        <w:tab/>
      </w:r>
      <w:r>
        <w:tab/>
      </w:r>
      <w:r>
        <w:tab/>
      </w:r>
      <w:r>
        <w:t>Integrated Source Apportionment Method</w:t>
      </w:r>
    </w:p>
    <w:p>
      <w:pPr>
        <w:spacing w:line="480" w:lineRule="auto"/>
      </w:pPr>
      <w:r>
        <w:t>CMAQ</w:t>
      </w:r>
      <w:r>
        <w:tab/>
      </w:r>
      <w:r>
        <w:tab/>
      </w:r>
      <w:r>
        <w:tab/>
      </w:r>
      <w:r>
        <w:tab/>
      </w:r>
      <w:r>
        <w:tab/>
      </w:r>
      <w:r>
        <w:t>Community Multiscale Air Quality Model</w:t>
      </w:r>
    </w:p>
    <w:p>
      <w:pPr>
        <w:spacing w:line="480" w:lineRule="auto"/>
      </w:pPr>
      <w:r>
        <w:t>NAAQS</w:t>
      </w:r>
      <w:r>
        <w:tab/>
      </w:r>
      <w:r>
        <w:tab/>
      </w:r>
      <w:r>
        <w:tab/>
      </w:r>
      <w:r>
        <w:tab/>
      </w:r>
      <w:r>
        <w:tab/>
      </w:r>
      <w:r>
        <w:t>National Ambient Air</w:t>
      </w:r>
      <w:r>
        <w:rPr>
          <w:rFonts w:hint="eastAsia"/>
        </w:rPr>
        <w:t xml:space="preserve"> </w:t>
      </w:r>
      <w:r>
        <w:t>Quality Standards</w:t>
      </w:r>
    </w:p>
    <w:p>
      <w:pPr>
        <w:spacing w:line="480" w:lineRule="auto"/>
      </w:pPr>
      <w:r>
        <w:t>DDM</w:t>
      </w:r>
      <w:r>
        <w:tab/>
      </w:r>
      <w:r>
        <w:tab/>
      </w:r>
      <w:r>
        <w:tab/>
      </w:r>
      <w:r>
        <w:tab/>
      </w:r>
      <w:r>
        <w:tab/>
      </w:r>
      <w:r>
        <w:t>Decoupled Direct Method</w:t>
      </w:r>
    </w:p>
    <w:p>
      <w:pPr>
        <w:spacing w:line="480" w:lineRule="auto"/>
      </w:pPr>
      <w:r>
        <w:t>ICET</w:t>
      </w:r>
      <w:r>
        <w:tab/>
      </w:r>
      <w:r>
        <w:tab/>
      </w:r>
      <w:r>
        <w:tab/>
      </w:r>
      <w:r>
        <w:tab/>
      </w:r>
      <w:r>
        <w:tab/>
      </w:r>
      <w:r>
        <w:t>International Control Cost Estimate Tool</w:t>
      </w:r>
    </w:p>
    <w:p>
      <w:pPr>
        <w:spacing w:line="480" w:lineRule="auto"/>
      </w:pPr>
      <w:r>
        <w:t>SMAT-CE</w:t>
      </w:r>
      <w:r>
        <w:tab/>
      </w:r>
      <w:r>
        <w:tab/>
      </w:r>
      <w:r>
        <w:tab/>
      </w:r>
      <w:r>
        <w:tab/>
      </w:r>
      <w:r>
        <w:t>Software of Model Attainment Test - Community Edition</w:t>
      </w:r>
    </w:p>
    <w:p>
      <w:pPr>
        <w:spacing w:line="480" w:lineRule="auto"/>
        <w:ind w:left="2520" w:hanging="2520" w:hangingChars="1050"/>
      </w:pPr>
      <w:r>
        <w:t>BenMAP-CE</w:t>
      </w:r>
      <w:r>
        <w:tab/>
      </w:r>
      <w:r>
        <w:t>Environmental Benefits Mapping and Analysis Program - Community Edition</w:t>
      </w:r>
    </w:p>
    <w:p>
      <w:pPr>
        <w:spacing w:line="480" w:lineRule="auto"/>
      </w:pPr>
      <w:r>
        <w:t>CMAS</w:t>
      </w:r>
      <w:r>
        <w:tab/>
      </w:r>
      <w:r>
        <w:tab/>
      </w:r>
      <w:r>
        <w:tab/>
      </w:r>
      <w:r>
        <w:tab/>
      </w:r>
      <w:r>
        <w:tab/>
      </w:r>
      <w:r>
        <w:t>Community Modeling and Analysis System</w:t>
      </w:r>
    </w:p>
    <w:p>
      <w:pPr>
        <w:spacing w:line="480" w:lineRule="auto"/>
      </w:pPr>
      <w:r>
        <w:t>VNA</w:t>
      </w:r>
      <w:r>
        <w:tab/>
      </w:r>
      <w:r>
        <w:tab/>
      </w:r>
      <w:r>
        <w:tab/>
      </w:r>
      <w:r>
        <w:tab/>
      </w:r>
      <w:r>
        <w:tab/>
      </w:r>
      <w:r>
        <w:t>Vector network analyzer</w:t>
      </w:r>
    </w:p>
    <w:p>
      <w:pPr>
        <w:spacing w:line="480" w:lineRule="auto"/>
      </w:pPr>
      <w:r>
        <w:t>GCAM</w:t>
      </w:r>
      <w:r>
        <w:tab/>
      </w:r>
      <w:r>
        <w:tab/>
      </w:r>
      <w:r>
        <w:tab/>
      </w:r>
      <w:r>
        <w:tab/>
      </w:r>
      <w:r>
        <w:tab/>
      </w:r>
      <w:r>
        <w:t xml:space="preserve">Global Change Assessment Model </w:t>
      </w:r>
    </w:p>
    <w:p>
      <w:pPr>
        <w:spacing w:line="480" w:lineRule="auto"/>
      </w:pPr>
      <w:r>
        <w:t>APCA</w:t>
      </w:r>
      <w:r>
        <w:tab/>
      </w:r>
      <w:r>
        <w:tab/>
      </w:r>
      <w:r>
        <w:tab/>
      </w:r>
      <w:r>
        <w:tab/>
      </w:r>
      <w:r>
        <w:tab/>
      </w:r>
      <w:r>
        <w:t>Anthropogenic Precursor Culpability Assessment</w:t>
      </w:r>
    </w:p>
    <w:p>
      <w:pPr>
        <w:spacing w:line="480" w:lineRule="auto"/>
      </w:pPr>
      <w:r>
        <w:t>ACE</w:t>
      </w:r>
      <w:r>
        <w:tab/>
      </w:r>
      <w:r>
        <w:tab/>
      </w:r>
      <w:r>
        <w:tab/>
      </w:r>
      <w:r>
        <w:tab/>
      </w:r>
      <w:r>
        <w:tab/>
      </w:r>
      <w:r>
        <w:t>Affordable Clean Energy</w:t>
      </w:r>
    </w:p>
    <w:p>
      <w:pPr>
        <w:spacing w:line="480" w:lineRule="auto"/>
      </w:pPr>
      <w:r>
        <w:t>QA</w:t>
      </w:r>
      <w:r>
        <w:tab/>
      </w:r>
      <w:r>
        <w:tab/>
      </w:r>
      <w:r>
        <w:tab/>
      </w:r>
      <w:r>
        <w:tab/>
      </w:r>
      <w:r>
        <w:tab/>
      </w:r>
      <w:r>
        <w:tab/>
      </w:r>
      <w:r>
        <w:t xml:space="preserve">Quality assurance </w:t>
      </w:r>
    </w:p>
    <w:p>
      <w:pPr>
        <w:spacing w:line="480" w:lineRule="auto"/>
      </w:pPr>
      <w:r>
        <w:t>GUI</w:t>
      </w:r>
      <w:r>
        <w:tab/>
      </w:r>
      <w:r>
        <w:tab/>
      </w:r>
      <w:r>
        <w:tab/>
      </w:r>
      <w:r>
        <w:tab/>
      </w:r>
      <w:r>
        <w:tab/>
      </w:r>
      <w:r>
        <w:t>Graphical User Interface</w:t>
      </w:r>
    </w:p>
    <w:p>
      <w:pPr>
        <w:spacing w:line="480" w:lineRule="auto"/>
      </w:pPr>
      <w:r>
        <w:t>AQ</w:t>
      </w:r>
      <w:r>
        <w:tab/>
      </w:r>
      <w:r>
        <w:tab/>
      </w:r>
      <w:r>
        <w:tab/>
      </w:r>
      <w:r>
        <w:tab/>
      </w:r>
      <w:r>
        <w:tab/>
      </w:r>
      <w:r>
        <w:tab/>
      </w:r>
      <w:r>
        <w:t xml:space="preserve">Air quality </w:t>
      </w:r>
    </w:p>
    <w:p>
      <w:pPr>
        <w:spacing w:line="480" w:lineRule="auto"/>
      </w:pPr>
      <w:r>
        <w:t>DV</w:t>
      </w:r>
      <w:r>
        <w:tab/>
      </w:r>
      <w:r>
        <w:tab/>
      </w:r>
      <w:r>
        <w:tab/>
      </w:r>
      <w:r>
        <w:tab/>
      </w:r>
      <w:r>
        <w:tab/>
      </w:r>
      <w:r>
        <w:tab/>
      </w:r>
      <w:r>
        <w:t xml:space="preserve">Design value </w:t>
      </w:r>
    </w:p>
    <w:p>
      <w:pPr>
        <w:spacing w:line="480" w:lineRule="auto"/>
      </w:pPr>
      <w:r>
        <w:t>EJ</w:t>
      </w:r>
      <w:r>
        <w:tab/>
      </w:r>
      <w:r>
        <w:tab/>
      </w:r>
      <w:r>
        <w:tab/>
      </w:r>
      <w:r>
        <w:tab/>
      </w:r>
      <w:r>
        <w:tab/>
      </w:r>
      <w:r>
        <w:tab/>
      </w:r>
      <w:r>
        <w:t xml:space="preserve">Environmental justice </w:t>
      </w:r>
    </w:p>
    <w:p>
      <w:pPr>
        <w:spacing w:line="480" w:lineRule="auto"/>
      </w:pPr>
    </w:p>
    <w:p>
      <w:pPr>
        <w:pStyle w:val="2"/>
        <w:numPr>
          <w:ilvl w:val="0"/>
          <w:numId w:val="3"/>
        </w:numPr>
        <w:spacing w:line="360" w:lineRule="auto"/>
        <w:sectPr>
          <w:footerReference r:id="rId10" w:type="default"/>
          <w:pgSz w:w="11906" w:h="16838"/>
          <w:pgMar w:top="1440" w:right="1800" w:bottom="1440" w:left="1800" w:header="708" w:footer="708" w:gutter="0"/>
          <w:pgNumType w:fmt="lowerRoman"/>
          <w:cols w:space="708" w:num="1"/>
          <w:docGrid w:linePitch="360" w:charSpace="0"/>
        </w:sectPr>
      </w:pPr>
      <w:bookmarkStart w:id="4" w:name="_Toc122982039"/>
    </w:p>
    <w:p>
      <w:pPr>
        <w:pStyle w:val="2"/>
        <w:numPr>
          <w:ilvl w:val="0"/>
          <w:numId w:val="3"/>
        </w:numPr>
        <w:spacing w:line="360" w:lineRule="auto"/>
      </w:pPr>
      <w:r>
        <w:t>Introduction</w:t>
      </w:r>
      <w:bookmarkEnd w:id="2"/>
      <w:bookmarkEnd w:id="3"/>
      <w:bookmarkEnd w:id="4"/>
    </w:p>
    <w:p>
      <w:pPr>
        <w:spacing w:line="360" w:lineRule="auto"/>
      </w:pPr>
      <w:r>
        <w:t>To conduct a comprehensive evaluation of the performance of different source apportionment approaches, a new standalone reduced-complexity tool named FAST-CE was developed to provide greater flexibility and transparency in the estimation of monetized benefits for O</w:t>
      </w:r>
      <w:r>
        <w:rPr>
          <w:vertAlign w:val="subscript"/>
        </w:rPr>
        <w:t>3</w:t>
      </w:r>
      <w:r>
        <w:t xml:space="preserve"> and PM</w:t>
      </w:r>
      <w:r>
        <w:rPr>
          <w:vertAlign w:val="subscript"/>
        </w:rPr>
        <w:t xml:space="preserve">2.5 </w:t>
      </w:r>
      <w:r>
        <w:t xml:space="preserve">reductions. This tool provides fast turnaround times for benefits estimation, which can be an alternative to the more time-intensive application of specific control strategies modeled with a photochemical transport model. With this tool, users can integrate source-receptor relationships generated by photochemical transport models and provide analysis for meeting requirements of regulatory demonstration that range in complexity. The flexible framework allows users to integrate more complex air quality surfaces generated by photochemical models applied with instrumented techniques, including source apportionment (SA) modeling technique (CAMx/OSAT &amp; PSAT, etc.), source/receptor sensitivity modeling technique (DDM) </w:t>
      </w:r>
      <w:r>
        <w:fldChar w:fldCharType="begin"/>
      </w:r>
      <w:r>
        <w:instrText xml:space="preserve"> ADDIN EN.CITE &lt;EndNote&gt;&lt;Cite&gt;&lt;Author&gt;Dunker&lt;/Author&gt;&lt;Year&gt;2002&lt;/Year&gt;&lt;RecNum&gt;362&lt;/RecNum&gt;&lt;DisplayText&gt;(Dunker, Yarwood et al. 2002, Li, An et al. 2016)&lt;/DisplayText&gt;&lt;record&gt;&lt;rec-number&gt;362&lt;/rec-number&gt;&lt;foreign-keys&gt;&lt;key app="EN" db-id="9pz0da5tve9r5devvrg5rv9qws2zz0tavrx0" timestamp="1592885636"&gt;362&lt;/key&gt;&lt;/foreign-keys&gt;&lt;ref-type name="Journal Article"&gt;17&lt;/ref-type&gt;&lt;contributors&gt;&lt;authors&gt;&lt;author&gt;Dunker, Alan M.&lt;/author&gt;&lt;author&gt;Yarwood, Greg&lt;/author&gt;&lt;author&gt;Ortmann, Jerome P.&lt;/author&gt;&lt;author&gt;Wilson, Gary M.&lt;/author&gt;&lt;/authors&gt;&lt;/contributors&gt;&lt;titles&gt;&lt;title&gt;Comparison of Source Apportionment and Source Sensitivity of Ozone in a Three-Dimensional Air Quality Model&lt;/title&gt;&lt;secondary-title&gt;Environmental Science &amp;amp; Technology&lt;/secondary-title&gt;&lt;/titles&gt;&lt;periodical&gt;&lt;full-title&gt;Environmental Science &amp;amp; Technology&lt;/full-title&gt;&lt;/periodical&gt;&lt;pages&gt;2953-2964&lt;/pages&gt;&lt;volume&gt;36&lt;/volume&gt;&lt;number&gt;13&lt;/number&gt;&lt;dates&gt;&lt;year&gt;2002&lt;/year&gt;&lt;/dates&gt;&lt;urls&gt;&lt;/urls&gt;&lt;/record&gt;&lt;/Cite&gt;&lt;Cite&gt;&lt;Author&gt;Li&lt;/Author&gt;&lt;Year&gt;2016&lt;/Year&gt;&lt;RecNum&gt;363&lt;/RecNum&gt;&lt;record&gt;&lt;rec-number&gt;363&lt;/rec-number&gt;&lt;foreign-keys&gt;&lt;key app="EN" db-id="9pz0da5tve9r5devvrg5rv9qws2zz0tavrx0" timestamp="1592885824"&gt;363&lt;/key&gt;&lt;/foreign-keys&gt;&lt;ref-type name="Journal Article"&gt;17&lt;/ref-type&gt;&lt;contributors&gt;&lt;authors&gt;&lt;author&gt;Li, L.&lt;/author&gt;&lt;author&gt;An, J. Y.&lt;/author&gt;&lt;author&gt;Shi, Y. Y.&lt;/author&gt;&lt;author&gt;Zhou, M.&lt;/author&gt;&lt;author&gt;Yan, R. S.&lt;/author&gt;&lt;author&gt;Huang, C.&lt;/author&gt;&lt;author&gt;Wang, H. L.&lt;/author&gt;&lt;author&gt;Lou, S. R.&lt;/author&gt;&lt;author&gt;Wang, Q.&lt;/author&gt;&lt;author&gt;Lu, Q.&lt;/author&gt;&lt;/authors&gt;&lt;/contributors&gt;&lt;titles&gt;&lt;title&gt;Source apportionment of surface ozone in the Yangtze River Delta, China in the summer of 2013&lt;/title&gt;&lt;secondary-title&gt;Atmospheric Environment&lt;/secondary-title&gt;&lt;/titles&gt;&lt;periodical&gt;&lt;full-title&gt;Atmospheric Environment&lt;/full-title&gt;&lt;/periodical&gt;&lt;pages&gt;194-207&lt;/pages&gt;&lt;volume&gt;144&lt;/volume&gt;&lt;dates&gt;&lt;year&gt;2016&lt;/year&gt;&lt;/dates&gt;&lt;urls&gt;&lt;/urls&gt;&lt;/record&gt;&lt;/Cite&gt;&lt;/EndNote&gt;</w:instrText>
      </w:r>
      <w:r>
        <w:fldChar w:fldCharType="separate"/>
      </w:r>
      <w:r>
        <w:t>(</w:t>
      </w:r>
      <w:r>
        <w:fldChar w:fldCharType="begin"/>
      </w:r>
      <w:r>
        <w:instrText xml:space="preserve"> HYPERLINK \l "_ENREF_2" \o "Dunker, 2002 #362" </w:instrText>
      </w:r>
      <w:r>
        <w:fldChar w:fldCharType="separate"/>
      </w:r>
      <w:r>
        <w:t>Dunker, Yarwood et al. 2002</w:t>
      </w:r>
      <w:r>
        <w:fldChar w:fldCharType="end"/>
      </w:r>
      <w:r>
        <w:t xml:space="preserve">, </w:t>
      </w:r>
      <w:r>
        <w:fldChar w:fldCharType="begin"/>
      </w:r>
      <w:r>
        <w:instrText xml:space="preserve"> HYPERLINK \l "_ENREF_4" \o "Li, 2016 #363" </w:instrText>
      </w:r>
      <w:r>
        <w:fldChar w:fldCharType="separate"/>
      </w:r>
      <w:r>
        <w:t>Li, An et al. 2016</w:t>
      </w:r>
      <w:r>
        <w:fldChar w:fldCharType="end"/>
      </w:r>
      <w:r>
        <w:t>)</w:t>
      </w:r>
      <w:r>
        <w:fldChar w:fldCharType="end"/>
      </w:r>
      <w:r>
        <w:t>, and response surface modeling technique (RSM).</w:t>
      </w:r>
    </w:p>
    <w:p>
      <w:pPr>
        <w:pStyle w:val="3"/>
      </w:pPr>
      <w:bookmarkStart w:id="5" w:name="_Toc122982040"/>
      <w:r>
        <w:t>Evaluation Principle</w:t>
      </w:r>
      <w:bookmarkEnd w:id="5"/>
    </w:p>
    <w:p>
      <w:pPr>
        <w:spacing w:line="360" w:lineRule="auto"/>
      </w:pPr>
      <w:r>
        <w:t>Various methods have been applied to characterize and quantify the relationship between emission sources and pollutant concentrations. For example, model source apportionment approaches like Ozone source apportionment technology (OSAT) and Particle source apportionment technology (PSAT) in Comprehensive Air Quality Model with Extensions (CAMx), or the Integrated Source Apportionment Method (ISAM) in the Community Multiscale Air Quality (CMAQ), augment the model by adopting a system of tracer species to track the sources of ozone or PM</w:t>
      </w:r>
      <w:r>
        <w:rPr>
          <w:vertAlign w:val="subscript"/>
        </w:rPr>
        <w:t>2.5</w:t>
      </w:r>
      <w:r>
        <w:t xml:space="preserve"> and its precursor species for selected groupings of emissions categories and geographical regions </w:t>
      </w:r>
      <w:r>
        <w:fldChar w:fldCharType="begin"/>
      </w:r>
      <w:r>
        <w:instrText xml:space="preserve"> ADDIN EN.CITE &lt;EndNote&gt;&lt;Cite&gt;&lt;Author&gt;Li&lt;/Author&gt;&lt;Year&gt;2016&lt;/Year&gt;&lt;RecNum&gt;363&lt;/RecNum&gt;&lt;DisplayText&gt;(Li, An et al. 2016, Mojtaba, L. et al. 2018)&lt;/DisplayText&gt;&lt;record&gt;&lt;rec-number&gt;363&lt;/rec-number&gt;&lt;foreign-keys&gt;&lt;key app="EN" db-id="9pz0da5tve9r5devvrg5rv9qws2zz0tavrx0" timestamp="1592885824"&gt;363&lt;/key&gt;&lt;/foreign-keys&gt;&lt;ref-type name="Journal Article"&gt;17&lt;/ref-type&gt;&lt;contributors&gt;&lt;authors&gt;&lt;author&gt;Li, L.&lt;/author&gt;&lt;author&gt;An, J. Y.&lt;/author&gt;&lt;author&gt;Shi, Y. Y.&lt;/author&gt;&lt;author&gt;Zhou, M.&lt;/author&gt;&lt;author&gt;Yan, R. S.&lt;/author&gt;&lt;author&gt;Huang, C.&lt;/author&gt;&lt;author&gt;Wang, H. L.&lt;/author&gt;&lt;author&gt;Lou, S. R.&lt;/author&gt;&lt;author&gt;Wang, Q.&lt;/author&gt;&lt;author&gt;Lu, Q.&lt;/author&gt;&lt;/authors&gt;&lt;/contributors&gt;&lt;titles&gt;&lt;title&gt;Source apportionment of surface ozone in the Yangtze River Delta, China in the summer of 2013&lt;/title&gt;&lt;secondary-title&gt;Atmospheric Environment&lt;/secondary-title&gt;&lt;/titles&gt;&lt;periodical&gt;&lt;full-title&gt;Atmospheric Environment&lt;/full-title&gt;&lt;/periodical&gt;&lt;pages&gt;194-207&lt;/pages&gt;&lt;volume&gt;144&lt;/volume&gt;&lt;dates&gt;&lt;year&gt;2016&lt;/year&gt;&lt;/dates&gt;&lt;urls&gt;&lt;/urls&gt;&lt;/record&gt;&lt;/Cite&gt;&lt;Cite&gt;&lt;Author&gt;Mojtaba&lt;/Author&gt;&lt;Year&gt;2018&lt;/Year&gt;&lt;RecNum&gt;364&lt;/RecNum&gt;&lt;record&gt;&lt;rec-number&gt;364&lt;/rec-number&gt;&lt;foreign-keys&gt;&lt;key app="EN" db-id="9pz0da5tve9r5devvrg5rv9qws2zz0tavrx0" timestamp="1592886070"&gt;364&lt;/key&gt;&lt;/foreign-keys&gt;&lt;ref-type name="Journal Article"&gt;17&lt;/ref-type&gt;&lt;contributors&gt;&lt;authors&gt;&lt;author&gt;Moghani Mojtaba&lt;/author&gt;&lt;author&gt;Archer Cristina L.&lt;/author&gt;&lt;author&gt;Mirzakhalili Ali&lt;/author&gt;&lt;/authors&gt;&lt;/contributors&gt;&lt;titles&gt;&lt;title&gt;The importance of transport to ozone pollution in the U.S. Mid-Atlantic&lt;/title&gt;&lt;secondary-title&gt;Atmospheric environment&lt;/secondary-title&gt;&lt;/titles&gt;&lt;periodical&gt;&lt;full-title&gt;Atmospheric Environment&lt;/full-title&gt;&lt;/periodical&gt;&lt;pages&gt;420-431&lt;/pages&gt;&lt;volume&gt;191&lt;/volume&gt;&lt;number&gt;OCT.&lt;/number&gt;&lt;dates&gt;&lt;year&gt;2018&lt;/year&gt;&lt;/dates&gt;&lt;urls&gt;&lt;/urls&gt;&lt;/record&gt;&lt;/Cite&gt;&lt;/EndNote&gt;</w:instrText>
      </w:r>
      <w:r>
        <w:fldChar w:fldCharType="separate"/>
      </w:r>
      <w:r>
        <w:t>(</w:t>
      </w:r>
      <w:r>
        <w:fldChar w:fldCharType="begin"/>
      </w:r>
      <w:r>
        <w:instrText xml:space="preserve"> HYPERLINK \l "_ENREF_4" \o "Li, 2016 #363" </w:instrText>
      </w:r>
      <w:r>
        <w:fldChar w:fldCharType="separate"/>
      </w:r>
      <w:r>
        <w:t>Li, An et al. 2016</w:t>
      </w:r>
      <w:r>
        <w:fldChar w:fldCharType="end"/>
      </w:r>
      <w:r>
        <w:t xml:space="preserve">, </w:t>
      </w:r>
      <w:r>
        <w:fldChar w:fldCharType="begin"/>
      </w:r>
      <w:r>
        <w:instrText xml:space="preserve"> HYPERLINK \l "_ENREF_6" \o "Mojtaba, 2018 #364" </w:instrText>
      </w:r>
      <w:r>
        <w:fldChar w:fldCharType="separate"/>
      </w:r>
      <w:r>
        <w:t>Mojtaba, L. et al. 2018</w:t>
      </w:r>
      <w:r>
        <w:fldChar w:fldCharType="end"/>
      </w:r>
      <w:r>
        <w:t>)</w:t>
      </w:r>
      <w:r>
        <w:fldChar w:fldCharType="end"/>
      </w:r>
      <w:r>
        <w:t>. The DDM integrates the sensitivity equations decoupled from the model equations and then calculates the sensitivity coefficients of the response of O</w:t>
      </w:r>
      <w:r>
        <w:rPr>
          <w:vertAlign w:val="subscript"/>
        </w:rPr>
        <w:t>3</w:t>
      </w:r>
      <w:r>
        <w:t xml:space="preserve"> and PM</w:t>
      </w:r>
      <w:r>
        <w:rPr>
          <w:vertAlign w:val="subscript"/>
        </w:rPr>
        <w:t>2.5</w:t>
      </w:r>
      <w:r>
        <w:t xml:space="preserve"> concentrations to changes in model inputs (e.g., initial concentrations, boundary conditions, emission rates, etc.) using mathematical technology, while RSM uses advanced mathematical statistical techniques to characterize the relationship between model outputs and input parameters in a highly economical manner.</w:t>
      </w:r>
    </w:p>
    <w:p>
      <w:pPr>
        <w:spacing w:line="360" w:lineRule="auto"/>
      </w:pPr>
    </w:p>
    <w:p>
      <w:pPr>
        <w:spacing w:line="360" w:lineRule="auto"/>
        <w:rPr>
          <w:szCs w:val="24"/>
        </w:rPr>
      </w:pPr>
      <w:r>
        <w:rPr>
          <w:szCs w:val="24"/>
        </w:rPr>
        <w:t xml:space="preserve">Accordingly, based on </w:t>
      </w:r>
      <w:r>
        <w:rPr>
          <w:rFonts w:hint="eastAsia"/>
          <w:szCs w:val="24"/>
        </w:rPr>
        <w:t>t</w:t>
      </w:r>
      <w:r>
        <w:rPr>
          <w:szCs w:val="24"/>
        </w:rPr>
        <w:t xml:space="preserve">he above principles and the </w:t>
      </w:r>
      <w:r>
        <w:t>gridded photochemical model source apportionment surfaces or photochemical model DDM sensitivity coefficients</w:t>
      </w:r>
      <w:r>
        <w:rPr>
          <w:szCs w:val="24"/>
        </w:rPr>
        <w:t xml:space="preserve"> generated by them, </w:t>
      </w:r>
      <w:r>
        <w:t xml:space="preserve">FAST-CE can modulate those surfaces to generate a new air quality surface, visualize the change in the air quality surface, and conduct a comprehensive comparison among OSAT/PSAT &amp; ISAM, RSM, and DDM. The conceptual framework of FAST-CE is shown in </w:t>
      </w:r>
      <w:r>
        <w:fldChar w:fldCharType="begin"/>
      </w:r>
      <w:r>
        <w:instrText xml:space="preserve"> REF _Ref43732439 \h  \* MERGEFORMAT </w:instrText>
      </w:r>
      <w:r>
        <w:fldChar w:fldCharType="separate"/>
      </w:r>
      <w:r>
        <w:t>Figure 1</w:t>
      </w:r>
      <w:r>
        <w:fldChar w:fldCharType="end"/>
      </w:r>
      <w:r>
        <w:t>.</w:t>
      </w:r>
    </w:p>
    <w:p>
      <w:pPr>
        <w:spacing w:line="360" w:lineRule="auto"/>
        <w:jc w:val="center"/>
        <w:rPr>
          <w:kern w:val="2"/>
          <w:szCs w:val="24"/>
        </w:rPr>
      </w:pPr>
      <w:r>
        <w:drawing>
          <wp:inline distT="0" distB="0" distL="0" distR="0">
            <wp:extent cx="5274310" cy="4017010"/>
            <wp:effectExtent l="0" t="0" r="2540" b="254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3"/>
                    <a:stretch>
                      <a:fillRect/>
                    </a:stretch>
                  </pic:blipFill>
                  <pic:spPr>
                    <a:xfrm>
                      <a:off x="0" y="0"/>
                      <a:ext cx="5274310" cy="4017153"/>
                    </a:xfrm>
                    <a:prstGeom prst="rect">
                      <a:avLst/>
                    </a:prstGeom>
                  </pic:spPr>
                </pic:pic>
              </a:graphicData>
            </a:graphic>
          </wp:inline>
        </w:drawing>
      </w:r>
    </w:p>
    <w:p>
      <w:pPr>
        <w:pStyle w:val="11"/>
        <w:spacing w:line="360" w:lineRule="auto"/>
        <w:ind w:firstLine="240"/>
        <w:rPr>
          <w:szCs w:val="24"/>
        </w:rPr>
      </w:pPr>
      <w:bookmarkStart w:id="6" w:name="_Ref43732439"/>
      <w:bookmarkStart w:id="7" w:name="_Toc122982096"/>
      <w:bookmarkStart w:id="8" w:name="_Toc43734187"/>
      <w:r>
        <w:t xml:space="preserve">Figure </w:t>
      </w:r>
      <w:r>
        <w:fldChar w:fldCharType="begin"/>
      </w:r>
      <w:r>
        <w:instrText xml:space="preserve"> SEQ Fig. \* ARABIC </w:instrText>
      </w:r>
      <w:r>
        <w:fldChar w:fldCharType="separate"/>
      </w:r>
      <w:r>
        <w:t>1</w:t>
      </w:r>
      <w:r>
        <w:fldChar w:fldCharType="end"/>
      </w:r>
      <w:bookmarkEnd w:id="6"/>
      <w:r>
        <w:t>. The conceptual framework of FAST-CE</w:t>
      </w:r>
      <w:bookmarkEnd w:id="7"/>
      <w:bookmarkEnd w:id="8"/>
    </w:p>
    <w:p>
      <w:pPr>
        <w:spacing w:line="360" w:lineRule="auto"/>
      </w:pPr>
    </w:p>
    <w:p>
      <w:pPr>
        <w:spacing w:line="360" w:lineRule="auto"/>
      </w:pPr>
      <w:r>
        <w:rPr>
          <w:rFonts w:hint="eastAsia"/>
        </w:rPr>
        <w:t>T</w:t>
      </w:r>
      <w:r>
        <w:t>he methodology and processes of FAST-CE are listed as:</w:t>
      </w:r>
    </w:p>
    <w:p>
      <w:pPr>
        <w:pStyle w:val="39"/>
        <w:numPr>
          <w:ilvl w:val="0"/>
          <w:numId w:val="4"/>
        </w:numPr>
        <w:spacing w:before="120" w:after="120" w:line="360" w:lineRule="auto"/>
      </w:pPr>
      <w:r>
        <w:rPr>
          <w:rFonts w:hint="eastAsia"/>
        </w:rPr>
        <w:t>T</w:t>
      </w:r>
      <w:r>
        <w:t>he source contribution method (e.g., OSAT/PSAT&amp;ISAM, RSM and DDM method) and corresponding data are selected based on the research needs.</w:t>
      </w:r>
    </w:p>
    <w:p>
      <w:pPr>
        <w:pStyle w:val="39"/>
        <w:numPr>
          <w:ilvl w:val="0"/>
          <w:numId w:val="4"/>
        </w:numPr>
        <w:spacing w:before="120" w:after="120" w:line="360" w:lineRule="auto"/>
      </w:pPr>
      <w:r>
        <w:t xml:space="preserve">Combined with the source </w:t>
      </w:r>
      <w:r>
        <w:rPr>
          <w:rFonts w:hint="eastAsia"/>
        </w:rPr>
        <w:t>ap</w:t>
      </w:r>
      <w:r>
        <w:t>portionment data generated by OSAT/PSAT&amp;ISAM, RSM or DDM, the program will create scenarios contribution fields for each tag, and then sum up all scaled contribution tag fields, and finally create scenarios spatial field for SMAT-CE or BenMAP-CE;</w:t>
      </w:r>
    </w:p>
    <w:p>
      <w:pPr>
        <w:pStyle w:val="39"/>
        <w:numPr>
          <w:ilvl w:val="0"/>
          <w:numId w:val="4"/>
        </w:numPr>
        <w:spacing w:before="120" w:after="120" w:line="360" w:lineRule="auto"/>
      </w:pPr>
      <w:r>
        <w:rPr>
          <w:rFonts w:hint="eastAsia"/>
        </w:rPr>
        <w:t>T</w:t>
      </w:r>
      <w:r>
        <w:t>he performance of FAST-CE is validated through scatter plots (e.g., normal scatter plots and color density scatter plots) which compare the user-generated FAST-CE results with the EPA validation data.</w:t>
      </w:r>
    </w:p>
    <w:p>
      <w:pPr>
        <w:pStyle w:val="3"/>
      </w:pPr>
      <w:bookmarkStart w:id="9" w:name="_Toc438541457"/>
      <w:bookmarkStart w:id="10" w:name="_Toc122982041"/>
      <w:bookmarkStart w:id="11" w:name="_Toc439061746"/>
      <w:r>
        <w:t>Computer Requirements</w:t>
      </w:r>
      <w:bookmarkEnd w:id="9"/>
      <w:bookmarkEnd w:id="10"/>
      <w:bookmarkEnd w:id="11"/>
    </w:p>
    <w:p>
      <w:pPr>
        <w:spacing w:line="360" w:lineRule="auto"/>
      </w:pPr>
      <w:r>
        <w:t>FAST-CE requires a computer with:</w:t>
      </w:r>
    </w:p>
    <w:p>
      <w:pPr>
        <w:pStyle w:val="65"/>
        <w:spacing w:line="360" w:lineRule="auto"/>
      </w:pPr>
      <w:r>
        <w:t>Net Framework Version 4.6 or higher.</w:t>
      </w:r>
    </w:p>
    <w:p>
      <w:pPr>
        <w:pStyle w:val="65"/>
        <w:spacing w:line="360" w:lineRule="auto"/>
      </w:pPr>
      <w:r>
        <w:t>32-bit or 64-bit Windows 7/Windows 8/Windows 10.</w:t>
      </w:r>
    </w:p>
    <w:p>
      <w:pPr>
        <w:pStyle w:val="65"/>
        <w:spacing w:line="360" w:lineRule="auto"/>
      </w:pPr>
      <w:r>
        <w:t>4GB RAM or greater.</w:t>
      </w:r>
    </w:p>
    <w:p>
      <w:pPr>
        <w:pStyle w:val="65"/>
        <w:spacing w:line="360" w:lineRule="auto"/>
      </w:pPr>
      <w:r>
        <w:t>10 GB free disk space or greater.</w:t>
      </w:r>
    </w:p>
    <w:p>
      <w:pPr>
        <w:pStyle w:val="3"/>
      </w:pPr>
      <w:bookmarkStart w:id="12" w:name="_Toc438541458"/>
      <w:bookmarkStart w:id="13" w:name="_Toc439061747"/>
      <w:bookmarkStart w:id="14" w:name="_Toc122982042"/>
      <w:bookmarkStart w:id="15" w:name="_Toc438541461"/>
      <w:bookmarkStart w:id="16" w:name="_Toc439061750"/>
      <w:r>
        <w:t xml:space="preserve">Installing/Uninstalling </w:t>
      </w:r>
      <w:bookmarkEnd w:id="12"/>
      <w:bookmarkEnd w:id="13"/>
      <w:r>
        <w:t>FAST-CE</w:t>
      </w:r>
      <w:bookmarkEnd w:id="14"/>
    </w:p>
    <w:p>
      <w:pPr>
        <w:pStyle w:val="4"/>
      </w:pPr>
      <w:bookmarkStart w:id="17" w:name="_Toc439061748"/>
      <w:bookmarkStart w:id="18" w:name="_Toc438541459"/>
      <w:bookmarkStart w:id="19" w:name="_Toc122982043"/>
      <w:r>
        <w:t xml:space="preserve">Installing </w:t>
      </w:r>
      <w:bookmarkEnd w:id="17"/>
      <w:bookmarkEnd w:id="18"/>
      <w:r>
        <w:t>FAST-CE</w:t>
      </w:r>
      <w:bookmarkEnd w:id="19"/>
    </w:p>
    <w:p>
      <w:pPr>
        <w:spacing w:line="360" w:lineRule="auto"/>
      </w:pPr>
      <w:r>
        <w:t>Download FAST-CE Software Package and corresponding example data (including FAST-CE EJ&amp;GCAM Data.exe) from the ABaCAS website:</w:t>
      </w:r>
    </w:p>
    <w:p>
      <w:pPr>
        <w:pStyle w:val="50"/>
        <w:numPr>
          <w:ilvl w:val="0"/>
          <w:numId w:val="5"/>
        </w:numPr>
        <w:spacing w:line="360" w:lineRule="auto"/>
        <w:ind w:firstLineChars="0"/>
      </w:pPr>
      <w:r>
        <w:t>AB</w:t>
      </w:r>
      <w:r>
        <w:rPr>
          <w:rFonts w:hint="eastAsia"/>
        </w:rPr>
        <w:t>a</w:t>
      </w:r>
      <w:r>
        <w:t xml:space="preserve">CAS </w:t>
      </w:r>
      <w:r>
        <w:rPr>
          <w:rFonts w:hint="eastAsia"/>
        </w:rPr>
        <w:t>EPA</w:t>
      </w:r>
      <w:r>
        <w:t xml:space="preserve"> tools download page: </w:t>
      </w:r>
      <w:r>
        <w:fldChar w:fldCharType="begin"/>
      </w:r>
      <w:r>
        <w:instrText xml:space="preserve"> HYPERLINK "http://abacas.see.scut.edu.cn/tools/" </w:instrText>
      </w:r>
      <w:r>
        <w:fldChar w:fldCharType="separate"/>
      </w:r>
      <w:r>
        <w:rPr>
          <w:rStyle w:val="30"/>
        </w:rPr>
        <w:t>http://abacas.see.scut.edu.cn/tools/</w:t>
      </w:r>
      <w:r>
        <w:fldChar w:fldCharType="end"/>
      </w:r>
      <w:r>
        <w:rPr>
          <w:rFonts w:hint="eastAsia"/>
          <w:lang w:val="en-US" w:eastAsia="zh-CN"/>
        </w:rPr>
        <w:t xml:space="preserve"> </w:t>
      </w:r>
    </w:p>
    <w:p>
      <w:pPr>
        <w:pStyle w:val="65"/>
        <w:numPr>
          <w:ilvl w:val="0"/>
          <w:numId w:val="6"/>
        </w:numPr>
        <w:spacing w:line="360" w:lineRule="auto"/>
      </w:pPr>
      <w:r>
        <w:t xml:space="preserve">Double click the </w:t>
      </w:r>
      <w:r>
        <w:rPr>
          <w:color w:val="000000"/>
          <w:szCs w:val="24"/>
        </w:rPr>
        <w:t xml:space="preserve">package (e.g., </w:t>
      </w:r>
      <w:r>
        <w:t>FAST-CE.exe) to install the program (</w:t>
      </w:r>
      <w:r>
        <w:fldChar w:fldCharType="begin"/>
      </w:r>
      <w:r>
        <w:instrText xml:space="preserve"> REF _Ref445828077 \h  \* MERGEFORMAT </w:instrText>
      </w:r>
      <w:r>
        <w:fldChar w:fldCharType="separate"/>
      </w:r>
      <w:r>
        <w:t>Figure 2</w:t>
      </w:r>
      <w:r>
        <w:fldChar w:fldCharType="end"/>
      </w:r>
      <w:r>
        <w:t>).</w:t>
      </w:r>
    </w:p>
    <w:p>
      <w:pPr>
        <w:spacing w:line="360" w:lineRule="auto"/>
        <w:jc w:val="center"/>
        <w:rPr>
          <w:rFonts w:cs="Times New Roman"/>
          <w:szCs w:val="24"/>
        </w:rPr>
      </w:pPr>
      <w:r>
        <w:rPr>
          <w:rFonts w:cs="Times New Roman"/>
          <w:szCs w:val="24"/>
        </w:rPr>
        <w:drawing>
          <wp:inline distT="0" distB="0" distL="0" distR="0">
            <wp:extent cx="4679950" cy="3580130"/>
            <wp:effectExtent l="0" t="0" r="13970" b="127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42"/>
                    <pic:cNvPicPr>
                      <a:picLocks noChangeAspect="1"/>
                    </pic:cNvPicPr>
                  </pic:nvPicPr>
                  <pic:blipFill>
                    <a:blip r:embed="rId14"/>
                    <a:stretch>
                      <a:fillRect/>
                    </a:stretch>
                  </pic:blipFill>
                  <pic:spPr>
                    <a:xfrm>
                      <a:off x="0" y="0"/>
                      <a:ext cx="4679950" cy="3580130"/>
                    </a:xfrm>
                    <a:prstGeom prst="rect">
                      <a:avLst/>
                    </a:prstGeom>
                  </pic:spPr>
                </pic:pic>
              </a:graphicData>
            </a:graphic>
          </wp:inline>
        </w:drawing>
      </w:r>
    </w:p>
    <w:p>
      <w:pPr>
        <w:pStyle w:val="11"/>
        <w:spacing w:line="360" w:lineRule="auto"/>
        <w:ind w:firstLine="240"/>
      </w:pPr>
      <w:bookmarkStart w:id="20" w:name="_Ref445828077"/>
      <w:bookmarkStart w:id="21" w:name="_Toc122982097"/>
      <w:bookmarkStart w:id="22" w:name="_Toc43734188"/>
      <w:r>
        <w:t xml:space="preserve">Figure </w:t>
      </w:r>
      <w:r>
        <w:fldChar w:fldCharType="begin"/>
      </w:r>
      <w:r>
        <w:instrText xml:space="preserve"> SEQ Fig. \* ARABIC </w:instrText>
      </w:r>
      <w:r>
        <w:fldChar w:fldCharType="separate"/>
      </w:r>
      <w:r>
        <w:t>2</w:t>
      </w:r>
      <w:r>
        <w:fldChar w:fldCharType="end"/>
      </w:r>
      <w:bookmarkEnd w:id="20"/>
      <w:r>
        <w:t>. Setup Window</w:t>
      </w:r>
      <w:bookmarkEnd w:id="21"/>
      <w:bookmarkEnd w:id="22"/>
    </w:p>
    <w:p>
      <w:pPr>
        <w:pStyle w:val="65"/>
        <w:spacing w:line="360" w:lineRule="auto"/>
      </w:pPr>
      <w:r>
        <w:t>Click the “</w:t>
      </w:r>
      <w:r>
        <w:rPr>
          <w:b/>
        </w:rPr>
        <w:t>Next</w:t>
      </w:r>
      <w:r>
        <w:t xml:space="preserve">” button, select the “Change” button if necessary, to specify a path rather than the default install path, as shown in </w:t>
      </w:r>
      <w:r>
        <w:fldChar w:fldCharType="begin"/>
      </w:r>
      <w:r>
        <w:instrText xml:space="preserve"> REF _Ref438996860 \h  \* MERGEFORMAT </w:instrText>
      </w:r>
      <w:r>
        <w:fldChar w:fldCharType="separate"/>
      </w:r>
      <w:r>
        <w:t>Figure 3</w:t>
      </w:r>
      <w:r>
        <w:fldChar w:fldCharType="end"/>
      </w:r>
      <w:r>
        <w:t>.</w:t>
      </w:r>
    </w:p>
    <w:p>
      <w:pPr>
        <w:spacing w:line="360" w:lineRule="auto"/>
        <w:jc w:val="center"/>
        <w:rPr>
          <w:rFonts w:eastAsia="宋体" w:cs="Times New Roman"/>
          <w:szCs w:val="24"/>
        </w:rPr>
      </w:pPr>
      <w:r>
        <w:rPr>
          <w:rFonts w:cs="Times New Roman"/>
          <w:szCs w:val="24"/>
        </w:rPr>
        <w:drawing>
          <wp:inline distT="0" distB="0" distL="0" distR="0">
            <wp:extent cx="4679950" cy="3571240"/>
            <wp:effectExtent l="0" t="0" r="13970" b="1016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43"/>
                    <pic:cNvPicPr>
                      <a:picLocks noChangeAspect="1"/>
                    </pic:cNvPicPr>
                  </pic:nvPicPr>
                  <pic:blipFill>
                    <a:blip r:embed="rId15"/>
                    <a:stretch>
                      <a:fillRect/>
                    </a:stretch>
                  </pic:blipFill>
                  <pic:spPr>
                    <a:xfrm>
                      <a:off x="0" y="0"/>
                      <a:ext cx="4679950" cy="3571240"/>
                    </a:xfrm>
                    <a:prstGeom prst="rect">
                      <a:avLst/>
                    </a:prstGeom>
                  </pic:spPr>
                </pic:pic>
              </a:graphicData>
            </a:graphic>
          </wp:inline>
        </w:drawing>
      </w:r>
    </w:p>
    <w:p>
      <w:pPr>
        <w:pStyle w:val="11"/>
        <w:spacing w:line="360" w:lineRule="auto"/>
        <w:ind w:firstLine="240"/>
      </w:pPr>
      <w:bookmarkStart w:id="23" w:name="_Ref438996860"/>
      <w:bookmarkStart w:id="24" w:name="_Toc43734189"/>
      <w:bookmarkStart w:id="25" w:name="_Toc122982098"/>
      <w:r>
        <w:t xml:space="preserve">Figure </w:t>
      </w:r>
      <w:r>
        <w:fldChar w:fldCharType="begin"/>
      </w:r>
      <w:r>
        <w:instrText xml:space="preserve"> SEQ Fig. \* ARABIC </w:instrText>
      </w:r>
      <w:r>
        <w:fldChar w:fldCharType="separate"/>
      </w:r>
      <w:r>
        <w:t>3</w:t>
      </w:r>
      <w:r>
        <w:fldChar w:fldCharType="end"/>
      </w:r>
      <w:bookmarkEnd w:id="23"/>
      <w:r>
        <w:t xml:space="preserve">. Choose Install </w:t>
      </w:r>
      <w:bookmarkEnd w:id="24"/>
      <w:r>
        <w:t>Path</w:t>
      </w:r>
      <w:bookmarkEnd w:id="25"/>
    </w:p>
    <w:p>
      <w:pPr>
        <w:pStyle w:val="65"/>
        <w:spacing w:line="360" w:lineRule="auto"/>
      </w:pPr>
      <w:r>
        <w:t xml:space="preserve">Click the “Next” button, the “Ready to Install” window will display as shown in </w:t>
      </w:r>
      <w:r>
        <w:fldChar w:fldCharType="begin"/>
      </w:r>
      <w:r>
        <w:instrText xml:space="preserve"> REF _Ref438996876 \h  \* MERGEFORMAT </w:instrText>
      </w:r>
      <w:r>
        <w:fldChar w:fldCharType="separate"/>
      </w:r>
      <w:r>
        <w:t>Figure 4</w:t>
      </w:r>
      <w:r>
        <w:fldChar w:fldCharType="end"/>
      </w:r>
      <w:r>
        <w:t>.</w:t>
      </w:r>
    </w:p>
    <w:p>
      <w:pPr>
        <w:spacing w:line="360" w:lineRule="auto"/>
        <w:ind w:firstLine="98" w:firstLineChars="41"/>
        <w:jc w:val="center"/>
        <w:rPr>
          <w:rFonts w:eastAsia="宋体" w:cs="Times New Roman"/>
          <w:szCs w:val="24"/>
        </w:rPr>
      </w:pPr>
      <w:r>
        <w:rPr>
          <w:rFonts w:cs="Times New Roman"/>
          <w:szCs w:val="24"/>
        </w:rPr>
        <w:drawing>
          <wp:inline distT="0" distB="0" distL="0" distR="0">
            <wp:extent cx="4679950" cy="3580130"/>
            <wp:effectExtent l="0" t="0" r="13970" b="127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16"/>
                    <a:stretch>
                      <a:fillRect/>
                    </a:stretch>
                  </pic:blipFill>
                  <pic:spPr>
                    <a:xfrm>
                      <a:off x="0" y="0"/>
                      <a:ext cx="4679950" cy="3580130"/>
                    </a:xfrm>
                    <a:prstGeom prst="rect">
                      <a:avLst/>
                    </a:prstGeom>
                  </pic:spPr>
                </pic:pic>
              </a:graphicData>
            </a:graphic>
          </wp:inline>
        </w:drawing>
      </w:r>
    </w:p>
    <w:p>
      <w:pPr>
        <w:pStyle w:val="11"/>
        <w:spacing w:line="360" w:lineRule="auto"/>
        <w:ind w:firstLine="240"/>
      </w:pPr>
      <w:bookmarkStart w:id="26" w:name="_Ref438996876"/>
      <w:bookmarkStart w:id="27" w:name="_Toc43734190"/>
      <w:bookmarkStart w:id="28" w:name="_Toc122982099"/>
      <w:r>
        <w:t xml:space="preserve">Figure </w:t>
      </w:r>
      <w:r>
        <w:fldChar w:fldCharType="begin"/>
      </w:r>
      <w:r>
        <w:instrText xml:space="preserve"> SEQ Fig. \* ARABIC </w:instrText>
      </w:r>
      <w:r>
        <w:fldChar w:fldCharType="separate"/>
      </w:r>
      <w:r>
        <w:t>4</w:t>
      </w:r>
      <w:r>
        <w:fldChar w:fldCharType="end"/>
      </w:r>
      <w:bookmarkEnd w:id="26"/>
      <w:r>
        <w:t>. Ready to Install</w:t>
      </w:r>
      <w:bookmarkEnd w:id="27"/>
      <w:bookmarkEnd w:id="28"/>
    </w:p>
    <w:p>
      <w:pPr>
        <w:pStyle w:val="65"/>
        <w:spacing w:line="360" w:lineRule="auto"/>
      </w:pPr>
      <w:r>
        <w:t>Click the “</w:t>
      </w:r>
      <w:r>
        <w:rPr>
          <w:b/>
        </w:rPr>
        <w:t>Install</w:t>
      </w:r>
      <w:r>
        <w:t>” button and FAST-CE will be installed.</w:t>
      </w:r>
    </w:p>
    <w:p>
      <w:pPr>
        <w:spacing w:line="360" w:lineRule="auto"/>
        <w:jc w:val="center"/>
        <w:rPr>
          <w:rFonts w:eastAsia="宋体" w:cs="Times New Roman"/>
          <w:szCs w:val="24"/>
        </w:rPr>
      </w:pPr>
      <w:r>
        <w:rPr>
          <w:rFonts w:cs="Times New Roman"/>
          <w:szCs w:val="24"/>
        </w:rPr>
        <w:drawing>
          <wp:inline distT="0" distB="0" distL="0" distR="0">
            <wp:extent cx="4679950" cy="3601085"/>
            <wp:effectExtent l="0" t="0" r="13970" b="1079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7"/>
                    <a:stretch>
                      <a:fillRect/>
                    </a:stretch>
                  </pic:blipFill>
                  <pic:spPr>
                    <a:xfrm>
                      <a:off x="0" y="0"/>
                      <a:ext cx="4679950" cy="3601085"/>
                    </a:xfrm>
                    <a:prstGeom prst="rect">
                      <a:avLst/>
                    </a:prstGeom>
                  </pic:spPr>
                </pic:pic>
              </a:graphicData>
            </a:graphic>
          </wp:inline>
        </w:drawing>
      </w:r>
    </w:p>
    <w:p>
      <w:pPr>
        <w:pStyle w:val="11"/>
        <w:spacing w:line="360" w:lineRule="auto"/>
        <w:ind w:firstLine="240"/>
      </w:pPr>
      <w:bookmarkStart w:id="29" w:name="_Toc122982100"/>
      <w:bookmarkStart w:id="30" w:name="_Toc43734191"/>
      <w:r>
        <w:t xml:space="preserve">Figure </w:t>
      </w:r>
      <w:r>
        <w:fldChar w:fldCharType="begin"/>
      </w:r>
      <w:r>
        <w:instrText xml:space="preserve"> SEQ Fig. \* ARABIC </w:instrText>
      </w:r>
      <w:r>
        <w:fldChar w:fldCharType="separate"/>
      </w:r>
      <w:r>
        <w:t>5</w:t>
      </w:r>
      <w:r>
        <w:fldChar w:fldCharType="end"/>
      </w:r>
      <w:r>
        <w:t>. Installation Process</w:t>
      </w:r>
      <w:bookmarkEnd w:id="29"/>
      <w:bookmarkEnd w:id="30"/>
    </w:p>
    <w:p>
      <w:pPr>
        <w:pStyle w:val="65"/>
        <w:spacing w:line="360" w:lineRule="auto"/>
      </w:pPr>
      <w:r>
        <w:t>Click the “</w:t>
      </w:r>
      <w:r>
        <w:rPr>
          <w:b/>
        </w:rPr>
        <w:t>Finish</w:t>
      </w:r>
      <w:r>
        <w:t>” button and complete the installation process.</w:t>
      </w:r>
    </w:p>
    <w:p>
      <w:pPr>
        <w:spacing w:line="360" w:lineRule="auto"/>
        <w:ind w:firstLine="240"/>
        <w:rPr>
          <w:rFonts w:cs="Times New Roman"/>
          <w:szCs w:val="24"/>
        </w:rPr>
      </w:pPr>
    </w:p>
    <w:p>
      <w:pPr>
        <w:keepNext w:val="0"/>
        <w:keepLines w:val="0"/>
        <w:pageBreakBefore w:val="0"/>
        <w:widowControl/>
        <w:kinsoku/>
        <w:wordWrap/>
        <w:overflowPunct/>
        <w:topLinePunct w:val="0"/>
        <w:autoSpaceDE/>
        <w:autoSpaceDN/>
        <w:bidi w:val="0"/>
        <w:adjustRightInd w:val="0"/>
        <w:snapToGrid w:val="0"/>
        <w:spacing w:line="360" w:lineRule="auto"/>
        <w:ind w:firstLine="0" w:firstLineChars="0"/>
        <w:jc w:val="center"/>
        <w:textAlignment w:val="auto"/>
        <w:rPr>
          <w:rFonts w:eastAsia="宋体" w:cs="Times New Roman"/>
          <w:szCs w:val="24"/>
        </w:rPr>
      </w:pPr>
      <w:r>
        <w:rPr>
          <w:rFonts w:cs="Times New Roman"/>
          <w:szCs w:val="24"/>
        </w:rPr>
        <w:drawing>
          <wp:inline distT="0" distB="0" distL="0" distR="0">
            <wp:extent cx="4716145" cy="3589020"/>
            <wp:effectExtent l="0" t="0" r="8255" b="762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8"/>
                    <a:stretch>
                      <a:fillRect/>
                    </a:stretch>
                  </pic:blipFill>
                  <pic:spPr>
                    <a:xfrm>
                      <a:off x="0" y="0"/>
                      <a:ext cx="4716145" cy="3589020"/>
                    </a:xfrm>
                    <a:prstGeom prst="rect">
                      <a:avLst/>
                    </a:prstGeom>
                  </pic:spPr>
                </pic:pic>
              </a:graphicData>
            </a:graphic>
          </wp:inline>
        </w:drawing>
      </w:r>
    </w:p>
    <w:p>
      <w:pPr>
        <w:pStyle w:val="11"/>
        <w:spacing w:line="360" w:lineRule="auto"/>
        <w:ind w:firstLine="240"/>
      </w:pPr>
      <w:bookmarkStart w:id="31" w:name="_Toc122982101"/>
      <w:bookmarkStart w:id="32" w:name="_Toc43734192"/>
      <w:r>
        <w:t xml:space="preserve">Figure </w:t>
      </w:r>
      <w:r>
        <w:fldChar w:fldCharType="begin"/>
      </w:r>
      <w:r>
        <w:instrText xml:space="preserve"> SEQ Fig. \* ARABIC </w:instrText>
      </w:r>
      <w:r>
        <w:fldChar w:fldCharType="separate"/>
      </w:r>
      <w:r>
        <w:t>6</w:t>
      </w:r>
      <w:r>
        <w:fldChar w:fldCharType="end"/>
      </w:r>
      <w:r>
        <w:t>. Complete Installation</w:t>
      </w:r>
      <w:bookmarkEnd w:id="31"/>
      <w:r>
        <w:t xml:space="preserve"> </w:t>
      </w:r>
      <w:bookmarkEnd w:id="32"/>
    </w:p>
    <w:p>
      <w:pPr>
        <w:spacing w:line="360" w:lineRule="auto"/>
        <w:ind w:firstLine="240"/>
        <w:rPr>
          <w:rFonts w:cs="Times New Roman"/>
          <w:szCs w:val="24"/>
        </w:rPr>
      </w:pPr>
    </w:p>
    <w:p>
      <w:pPr>
        <w:pStyle w:val="4"/>
      </w:pPr>
      <w:bookmarkStart w:id="33" w:name="_Toc122982044"/>
      <w:r>
        <w:t>Installing FAST-CE Data Installer</w:t>
      </w:r>
      <w:bookmarkEnd w:id="33"/>
    </w:p>
    <w:p>
      <w:pPr>
        <w:pStyle w:val="65"/>
        <w:spacing w:line="360" w:lineRule="auto"/>
        <w:rPr>
          <w:b/>
        </w:rPr>
      </w:pPr>
      <w:r>
        <w:t xml:space="preserve">After finishing the installation, please install the corresponding FAST-CE example data executable file (e.g., FAST-CE Data.exe) to User Documents directory under “\Documents\My FAST-CE Files\Data\*” to replace the old </w:t>
      </w:r>
      <w:r>
        <w:rPr>
          <w:b/>
          <w:bCs/>
        </w:rPr>
        <w:t>Data</w:t>
      </w:r>
      <w:r>
        <w:t xml:space="preserve"> folder. </w:t>
      </w:r>
    </w:p>
    <w:p>
      <w:pPr>
        <w:pStyle w:val="65"/>
        <w:spacing w:line="360" w:lineRule="auto"/>
        <w:rPr>
          <w:szCs w:val="24"/>
        </w:rPr>
      </w:pPr>
      <w:r>
        <w:rPr>
          <w:szCs w:val="24"/>
        </w:rPr>
        <w:t xml:space="preserve">Double click the </w:t>
      </w:r>
      <w:r>
        <w:rPr>
          <w:rFonts w:hint="eastAsia"/>
          <w:szCs w:val="24"/>
        </w:rPr>
        <w:t>example</w:t>
      </w:r>
      <w:r>
        <w:rPr>
          <w:szCs w:val="24"/>
        </w:rPr>
        <w:t xml:space="preserve"> data </w:t>
      </w:r>
      <w:r>
        <w:t>executable file</w:t>
      </w:r>
      <w:r>
        <w:rPr>
          <w:szCs w:val="24"/>
        </w:rPr>
        <w:t xml:space="preserve"> to install the program (</w:t>
      </w:r>
      <w:r>
        <w:rPr>
          <w:szCs w:val="24"/>
        </w:rPr>
        <w:fldChar w:fldCharType="begin"/>
      </w:r>
      <w:r>
        <w:rPr>
          <w:szCs w:val="24"/>
        </w:rPr>
        <w:instrText xml:space="preserve"> REF _Ref43369354 \h  \* MERGEFORMAT </w:instrText>
      </w:r>
      <w:r>
        <w:rPr>
          <w:szCs w:val="24"/>
        </w:rPr>
        <w:fldChar w:fldCharType="separate"/>
      </w:r>
      <w:r>
        <w:t>Figure 7</w:t>
      </w:r>
      <w:r>
        <w:rPr>
          <w:szCs w:val="24"/>
        </w:rPr>
        <w:fldChar w:fldCharType="end"/>
      </w:r>
      <w:r>
        <w:rPr>
          <w:szCs w:val="24"/>
        </w:rPr>
        <w:t>). It is recommended</w:t>
      </w:r>
      <w:r>
        <w:t xml:space="preserve"> </w:t>
      </w:r>
      <w:r>
        <w:rPr>
          <w:szCs w:val="24"/>
        </w:rPr>
        <w:t>not to change the default install path</w:t>
      </w:r>
      <w:r>
        <w:t xml:space="preserve"> </w:t>
      </w:r>
      <w:r>
        <w:rPr>
          <w:szCs w:val="24"/>
        </w:rPr>
        <w:t>because it is the path where FAST-CE reads the example data.</w:t>
      </w:r>
    </w:p>
    <w:p>
      <w:pPr>
        <w:pStyle w:val="65"/>
        <w:numPr>
          <w:ilvl w:val="0"/>
          <w:numId w:val="0"/>
        </w:numPr>
        <w:spacing w:line="360" w:lineRule="auto"/>
        <w:ind w:left="360"/>
        <w:rPr>
          <w:szCs w:val="24"/>
        </w:rPr>
      </w:pPr>
    </w:p>
    <w:p>
      <w:pPr>
        <w:spacing w:line="360" w:lineRule="auto"/>
        <w:jc w:val="center"/>
        <w:rPr>
          <w:rFonts w:cs="Times New Roman"/>
          <w:szCs w:val="24"/>
        </w:rPr>
      </w:pPr>
      <w:r>
        <w:drawing>
          <wp:inline distT="0" distB="0" distL="0" distR="0">
            <wp:extent cx="4975860" cy="371856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9"/>
                    <a:stretch>
                      <a:fillRect/>
                    </a:stretch>
                  </pic:blipFill>
                  <pic:spPr>
                    <a:xfrm>
                      <a:off x="0" y="0"/>
                      <a:ext cx="4976291" cy="3718882"/>
                    </a:xfrm>
                    <a:prstGeom prst="rect">
                      <a:avLst/>
                    </a:prstGeom>
                  </pic:spPr>
                </pic:pic>
              </a:graphicData>
            </a:graphic>
          </wp:inline>
        </w:drawing>
      </w:r>
    </w:p>
    <w:p>
      <w:pPr>
        <w:pStyle w:val="11"/>
        <w:spacing w:line="360" w:lineRule="auto"/>
        <w:ind w:firstLine="240"/>
        <w:rPr>
          <w:rFonts w:cs="Times New Roman"/>
        </w:rPr>
      </w:pPr>
      <w:bookmarkStart w:id="34" w:name="_Ref43369354"/>
      <w:bookmarkStart w:id="35" w:name="_Toc43734193"/>
      <w:bookmarkStart w:id="36" w:name="_Toc122982102"/>
      <w:r>
        <w:t xml:space="preserve">Figure </w:t>
      </w:r>
      <w:r>
        <w:fldChar w:fldCharType="begin"/>
      </w:r>
      <w:r>
        <w:instrText xml:space="preserve"> SEQ Fig. \* ARABIC </w:instrText>
      </w:r>
      <w:r>
        <w:fldChar w:fldCharType="separate"/>
      </w:r>
      <w:r>
        <w:t>7</w:t>
      </w:r>
      <w:r>
        <w:fldChar w:fldCharType="end"/>
      </w:r>
      <w:bookmarkEnd w:id="34"/>
      <w:r>
        <w:t xml:space="preserve">. </w:t>
      </w:r>
      <w:r>
        <w:rPr>
          <w:rFonts w:cs="Times New Roman"/>
        </w:rPr>
        <w:t xml:space="preserve">Choose Install </w:t>
      </w:r>
      <w:bookmarkEnd w:id="35"/>
      <w:r>
        <w:rPr>
          <w:rFonts w:cs="Times New Roman"/>
        </w:rPr>
        <w:t>Path</w:t>
      </w:r>
      <w:bookmarkEnd w:id="36"/>
    </w:p>
    <w:p>
      <w:pPr>
        <w:pStyle w:val="65"/>
        <w:spacing w:line="360" w:lineRule="auto"/>
      </w:pPr>
      <w:r>
        <w:t>Click the “</w:t>
      </w:r>
      <w:r>
        <w:rPr>
          <w:b/>
        </w:rPr>
        <w:t>Install</w:t>
      </w:r>
      <w:r>
        <w:t>” button and the FAST-CE Data will be extracted.</w:t>
      </w:r>
    </w:p>
    <w:p>
      <w:pPr>
        <w:spacing w:line="360" w:lineRule="auto"/>
        <w:jc w:val="center"/>
        <w:rPr>
          <w:rFonts w:cs="Times New Roman"/>
          <w:szCs w:val="24"/>
        </w:rPr>
      </w:pPr>
      <w:r>
        <w:drawing>
          <wp:inline distT="0" distB="0" distL="0" distR="0">
            <wp:extent cx="4975860" cy="371856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0"/>
                    <a:stretch>
                      <a:fillRect/>
                    </a:stretch>
                  </pic:blipFill>
                  <pic:spPr>
                    <a:xfrm>
                      <a:off x="0" y="0"/>
                      <a:ext cx="4976291" cy="3718882"/>
                    </a:xfrm>
                    <a:prstGeom prst="rect">
                      <a:avLst/>
                    </a:prstGeom>
                  </pic:spPr>
                </pic:pic>
              </a:graphicData>
            </a:graphic>
          </wp:inline>
        </w:drawing>
      </w:r>
    </w:p>
    <w:p>
      <w:pPr>
        <w:pStyle w:val="11"/>
        <w:spacing w:line="360" w:lineRule="auto"/>
        <w:ind w:firstLine="240"/>
      </w:pPr>
      <w:bookmarkStart w:id="37" w:name="_Toc43734194"/>
      <w:bookmarkStart w:id="38" w:name="_Toc122982103"/>
      <w:r>
        <w:t xml:space="preserve">Figure </w:t>
      </w:r>
      <w:r>
        <w:fldChar w:fldCharType="begin"/>
      </w:r>
      <w:r>
        <w:instrText xml:space="preserve"> SEQ Fig. \* ARABIC </w:instrText>
      </w:r>
      <w:r>
        <w:fldChar w:fldCharType="separate"/>
      </w:r>
      <w:r>
        <w:t>8</w:t>
      </w:r>
      <w:r>
        <w:fldChar w:fldCharType="end"/>
      </w:r>
      <w:r>
        <w:t xml:space="preserve">. </w:t>
      </w:r>
      <w:bookmarkEnd w:id="37"/>
      <w:r>
        <w:t>Installation Process</w:t>
      </w:r>
      <w:bookmarkEnd w:id="38"/>
    </w:p>
    <w:p>
      <w:pPr>
        <w:spacing w:line="360" w:lineRule="auto"/>
      </w:pPr>
    </w:p>
    <w:p>
      <w:pPr>
        <w:pStyle w:val="65"/>
        <w:spacing w:line="360" w:lineRule="auto"/>
      </w:pPr>
      <w:r>
        <w:t>When the data extraction is completed, the installation window will be closed automatically.</w:t>
      </w:r>
    </w:p>
    <w:p>
      <w:pPr>
        <w:pStyle w:val="4"/>
      </w:pPr>
      <w:bookmarkStart w:id="39" w:name="_Toc438541460"/>
      <w:bookmarkStart w:id="40" w:name="_Toc439061749"/>
      <w:bookmarkStart w:id="41" w:name="_Toc122982045"/>
      <w:r>
        <w:t xml:space="preserve">Uninstalling </w:t>
      </w:r>
      <w:bookmarkEnd w:id="39"/>
      <w:bookmarkEnd w:id="40"/>
      <w:r>
        <w:t>FAST-CE</w:t>
      </w:r>
      <w:bookmarkEnd w:id="41"/>
    </w:p>
    <w:p>
      <w:pPr>
        <w:pStyle w:val="65"/>
        <w:spacing w:line="360" w:lineRule="auto"/>
      </w:pPr>
      <w:r>
        <w:t>Go to Control Panel.</w:t>
      </w:r>
    </w:p>
    <w:p>
      <w:pPr>
        <w:pStyle w:val="65"/>
        <w:spacing w:line="360" w:lineRule="auto"/>
      </w:pPr>
      <w:r>
        <w:t>Select FAST-CE and click Change/Remove, the pop-up window below will appear.</w:t>
      </w:r>
    </w:p>
    <w:p>
      <w:pPr>
        <w:pStyle w:val="65"/>
        <w:numPr>
          <w:ilvl w:val="0"/>
          <w:numId w:val="0"/>
        </w:numPr>
        <w:spacing w:line="360" w:lineRule="auto"/>
      </w:pPr>
    </w:p>
    <w:p>
      <w:pPr>
        <w:spacing w:line="360" w:lineRule="auto"/>
        <w:ind w:firstLine="240"/>
        <w:jc w:val="center"/>
        <w:rPr>
          <w:rFonts w:cs="Times New Roman"/>
          <w:szCs w:val="24"/>
        </w:rPr>
      </w:pPr>
      <w:r>
        <w:rPr>
          <w:rFonts w:cs="Times New Roman"/>
          <w:szCs w:val="24"/>
        </w:rPr>
        <w:drawing>
          <wp:inline distT="0" distB="0" distL="0" distR="0">
            <wp:extent cx="3750945" cy="1418590"/>
            <wp:effectExtent l="0" t="0" r="1905"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21"/>
                    <a:srcRect/>
                    <a:stretch>
                      <a:fillRect/>
                    </a:stretch>
                  </pic:blipFill>
                  <pic:spPr>
                    <a:xfrm>
                      <a:off x="0" y="0"/>
                      <a:ext cx="3752381" cy="1419048"/>
                    </a:xfrm>
                    <a:prstGeom prst="rect">
                      <a:avLst/>
                    </a:prstGeom>
                    <a:ln>
                      <a:noFill/>
                    </a:ln>
                  </pic:spPr>
                </pic:pic>
              </a:graphicData>
            </a:graphic>
          </wp:inline>
        </w:drawing>
      </w:r>
    </w:p>
    <w:p>
      <w:pPr>
        <w:pStyle w:val="11"/>
        <w:spacing w:line="360" w:lineRule="auto"/>
        <w:ind w:firstLine="240"/>
      </w:pPr>
      <w:bookmarkStart w:id="42" w:name="_Toc43734195"/>
      <w:bookmarkStart w:id="43" w:name="_Toc122982104"/>
      <w:r>
        <w:t xml:space="preserve">Figure </w:t>
      </w:r>
      <w:r>
        <w:fldChar w:fldCharType="begin"/>
      </w:r>
      <w:r>
        <w:instrText xml:space="preserve"> SEQ Fig. \* ARABIC </w:instrText>
      </w:r>
      <w:r>
        <w:fldChar w:fldCharType="separate"/>
      </w:r>
      <w:r>
        <w:t>9</w:t>
      </w:r>
      <w:r>
        <w:fldChar w:fldCharType="end"/>
      </w:r>
      <w:r>
        <w:t>. Uninstallation Process</w:t>
      </w:r>
      <w:bookmarkEnd w:id="42"/>
      <w:bookmarkEnd w:id="43"/>
    </w:p>
    <w:p>
      <w:pPr>
        <w:spacing w:line="360" w:lineRule="auto"/>
      </w:pPr>
    </w:p>
    <w:p>
      <w:pPr>
        <w:pStyle w:val="65"/>
        <w:spacing w:line="360" w:lineRule="auto"/>
      </w:pPr>
      <w:r>
        <w:t>After a few seconds, uninstallation will finish.</w:t>
      </w:r>
    </w:p>
    <w:p>
      <w:pPr>
        <w:pStyle w:val="3"/>
      </w:pPr>
      <w:bookmarkStart w:id="44" w:name="_Toc122982046"/>
      <w:r>
        <w:t>Contacts for Comments and Questions</w:t>
      </w:r>
      <w:bookmarkEnd w:id="15"/>
      <w:bookmarkEnd w:id="16"/>
      <w:bookmarkEnd w:id="44"/>
    </w:p>
    <w:p>
      <w:pPr>
        <w:spacing w:line="360" w:lineRule="auto"/>
      </w:pPr>
      <w:bookmarkStart w:id="45" w:name="_Hlk43994538"/>
      <w:r>
        <w:t>For comments and questions, please contact the following：</w:t>
      </w:r>
    </w:p>
    <w:bookmarkEnd w:id="45"/>
    <w:p>
      <w:pPr>
        <w:pStyle w:val="50"/>
        <w:numPr>
          <w:ilvl w:val="0"/>
          <w:numId w:val="7"/>
        </w:numPr>
        <w:spacing w:before="120" w:after="120" w:line="360" w:lineRule="auto"/>
        <w:ind w:left="720" w:hanging="360" w:firstLineChars="0"/>
        <w:rPr>
          <w:szCs w:val="24"/>
        </w:rPr>
      </w:pPr>
      <w:r>
        <w:rPr>
          <w:rFonts w:hint="eastAsia"/>
          <w:szCs w:val="24"/>
        </w:rPr>
        <w:t>T</w:t>
      </w:r>
      <w:r>
        <w:rPr>
          <w:szCs w:val="24"/>
        </w:rPr>
        <w:t xml:space="preserve">he Center for Community Modeling and Analysis System (CMAS) at the University of North Carolina at Chapel Hill via email at </w:t>
      </w:r>
      <w:r>
        <w:fldChar w:fldCharType="begin"/>
      </w:r>
      <w:r>
        <w:instrText xml:space="preserve"> HYPERLINK "mailto:cmas@unc.edu" </w:instrText>
      </w:r>
      <w:r>
        <w:fldChar w:fldCharType="separate"/>
      </w:r>
      <w:r>
        <w:rPr>
          <w:rStyle w:val="30"/>
          <w:szCs w:val="24"/>
        </w:rPr>
        <w:t>cmas@unc.edu</w:t>
      </w:r>
      <w:r>
        <w:rPr>
          <w:rStyle w:val="30"/>
          <w:szCs w:val="24"/>
        </w:rPr>
        <w:fldChar w:fldCharType="end"/>
      </w:r>
      <w:r>
        <w:rPr>
          <w:szCs w:val="24"/>
        </w:rPr>
        <w:t>.</w:t>
      </w:r>
    </w:p>
    <w:p>
      <w:pPr>
        <w:pStyle w:val="2"/>
        <w:spacing w:line="360" w:lineRule="auto"/>
      </w:pPr>
      <w:bookmarkStart w:id="46" w:name="_Toc438541463"/>
      <w:bookmarkStart w:id="47" w:name="_Toc439061752"/>
      <w:bookmarkStart w:id="48" w:name="_Toc122982047"/>
      <w:r>
        <w:t>Terminology and File Types</w:t>
      </w:r>
      <w:bookmarkEnd w:id="46"/>
      <w:bookmarkEnd w:id="47"/>
      <w:bookmarkEnd w:id="48"/>
    </w:p>
    <w:p>
      <w:pPr>
        <w:spacing w:line="360" w:lineRule="auto"/>
      </w:pPr>
      <w:r>
        <w:t>The first section of this chapter explains the common terms used in this user’s manual and users can refer to other sections in this manual to find more detailed information about them if necessary. Section 2.2 describes the necessary format for externally generated model and monitor data files that can be read into FAST-CE in detail.</w:t>
      </w:r>
    </w:p>
    <w:p>
      <w:pPr>
        <w:pStyle w:val="3"/>
      </w:pPr>
      <w:bookmarkStart w:id="49" w:name="_Toc122982048"/>
      <w:r>
        <w:t>Common Terms</w:t>
      </w:r>
      <w:bookmarkEnd w:id="49"/>
    </w:p>
    <w:p>
      <w:pPr>
        <w:pStyle w:val="65"/>
        <w:spacing w:line="360" w:lineRule="auto"/>
      </w:pPr>
      <w:r>
        <w:rPr>
          <w:rFonts w:hint="eastAsia"/>
          <w:b/>
        </w:rPr>
        <w:t>OSAT</w:t>
      </w:r>
      <w:r>
        <w:rPr>
          <w:b/>
        </w:rPr>
        <w:t>/PSAT:</w:t>
      </w:r>
      <w:r>
        <w:t xml:space="preserve"> Ozone source apportionment technology (OSAT) and Particle source apportionment technology (PSAT) are source apportionment modeling approaches in Comprehensive Air Quality Model with Extensions (CAMx), which augment the model by adopting a system of tracer species to track the sources of ozone or PM</w:t>
      </w:r>
      <w:r>
        <w:rPr>
          <w:vertAlign w:val="subscript"/>
        </w:rPr>
        <w:t>2.5</w:t>
      </w:r>
      <w:r>
        <w:t xml:space="preserve"> and its precursor species for selected groupings of emissions categories and geographical regions.</w:t>
      </w:r>
    </w:p>
    <w:p>
      <w:pPr>
        <w:pStyle w:val="65"/>
        <w:spacing w:line="360" w:lineRule="auto"/>
      </w:pPr>
      <w:r>
        <w:t xml:space="preserve"> </w:t>
      </w:r>
      <w:r>
        <w:rPr>
          <w:b/>
        </w:rPr>
        <w:t>RSM:</w:t>
      </w:r>
      <w:r>
        <w:rPr>
          <w:kern w:val="0"/>
        </w:rPr>
        <w:t xml:space="preserve"> </w:t>
      </w:r>
      <w:r>
        <w:rPr>
          <w:bCs/>
        </w:rPr>
        <w:t>RSM is a “reduced form” model of a complex air quality model (e.g. CMAQ) - “meta-model”, based on a systematically selected set of model runs, statistical techniques can be used to represent the relationship between model inputs and outputs (e.g. emissions control and concentrations of PM &amp; ozone). Once the “response surface” has been generated, it can be used to simulate the change in secondary air pollutant concentrations due to a range of changes in emissions without re-running the computationally expensive photochemical air quality model. It can be also used to derive analytical representations of model sensitivities to changes in model inputs.</w:t>
      </w:r>
    </w:p>
    <w:p>
      <w:pPr>
        <w:pStyle w:val="65"/>
        <w:spacing w:line="360" w:lineRule="auto"/>
        <w:rPr>
          <w:rFonts w:eastAsia="WPIconicSymbolsB"/>
          <w:kern w:val="0"/>
        </w:rPr>
      </w:pPr>
      <w:r>
        <w:rPr>
          <w:rFonts w:eastAsia="WPIconicSymbolsB"/>
          <w:b/>
          <w:bCs/>
          <w:kern w:val="0"/>
        </w:rPr>
        <w:t xml:space="preserve">CMAQ (Community Multi-Scale Air Quality): </w:t>
      </w:r>
      <w:r>
        <w:rPr>
          <w:rFonts w:eastAsia="WPIconicSymbolsB"/>
          <w:kern w:val="0"/>
        </w:rPr>
        <w:t>A state-of-the-art air quality model able to model ambient particulate levels, as well as other pollutants, including ozone. The grid-size of CMAQ is approximately 36 kilometers by 36 kilometers.</w:t>
      </w:r>
    </w:p>
    <w:p>
      <w:pPr>
        <w:pStyle w:val="3"/>
      </w:pPr>
      <w:bookmarkStart w:id="50" w:name="_Toc122982049"/>
      <w:r>
        <w:t>File Types</w:t>
      </w:r>
      <w:bookmarkEnd w:id="50"/>
    </w:p>
    <w:p>
      <w:pPr>
        <w:pStyle w:val="4"/>
      </w:pPr>
      <w:bookmarkStart w:id="51" w:name="_Toc122982050"/>
      <w:r>
        <w:t>File Types for OSAT/PSAT/APCA/ISAM method</w:t>
      </w:r>
      <w:bookmarkEnd w:id="51"/>
    </w:p>
    <w:p>
      <w:pPr>
        <w:pStyle w:val="65"/>
        <w:spacing w:line="360" w:lineRule="auto"/>
      </w:pPr>
      <w:r>
        <w:rPr>
          <w:b/>
        </w:rPr>
        <w:t>CAMx Model data input for OSAT/PSAT</w:t>
      </w:r>
      <w:r>
        <w:t>: A netCDF formatted file for each tracer that contains tag information.</w:t>
      </w:r>
    </w:p>
    <w:p>
      <w:pPr>
        <w:pStyle w:val="65"/>
        <w:spacing w:line="360" w:lineRule="auto"/>
        <w:rPr>
          <w:szCs w:val="24"/>
        </w:rPr>
      </w:pPr>
      <w:r>
        <w:rPr>
          <w:b/>
          <w:szCs w:val="24"/>
        </w:rPr>
        <w:t>Receptor Region File:</w:t>
      </w:r>
      <w:r>
        <w:rPr>
          <w:szCs w:val="24"/>
        </w:rPr>
        <w:t xml:space="preserve"> A *.csv file which defines the grids of the analyzed receptors and is used to aggregate the grid concentration values to the level of those specified receptor regions. The columns in this file indicate in turn: </w:t>
      </w:r>
      <w:r>
        <w:rPr>
          <w:rFonts w:hint="eastAsia"/>
          <w:szCs w:val="24"/>
        </w:rPr>
        <w:t>region</w:t>
      </w:r>
      <w:r>
        <w:rPr>
          <w:szCs w:val="24"/>
        </w:rPr>
        <w:t xml:space="preserve"> ID, grid column, grid row, grid </w:t>
      </w:r>
      <w:r>
        <w:rPr>
          <w:rFonts w:hint="eastAsia"/>
          <w:szCs w:val="24"/>
        </w:rPr>
        <w:t>region</w:t>
      </w:r>
      <w:r>
        <w:rPr>
          <w:szCs w:val="24"/>
        </w:rPr>
        <w:t xml:space="preserve"> ratio, </w:t>
      </w:r>
      <w:r>
        <w:rPr>
          <w:rFonts w:hint="eastAsia"/>
          <w:szCs w:val="24"/>
        </w:rPr>
        <w:t>region</w:t>
      </w:r>
      <w:r>
        <w:rPr>
          <w:szCs w:val="24"/>
        </w:rPr>
        <w:t xml:space="preserve"> code, and </w:t>
      </w:r>
      <w:r>
        <w:rPr>
          <w:rFonts w:hint="eastAsia"/>
          <w:szCs w:val="24"/>
        </w:rPr>
        <w:t>region</w:t>
      </w:r>
      <w:r>
        <w:rPr>
          <w:szCs w:val="24"/>
        </w:rPr>
        <w:t xml:space="preserve"> name. The </w:t>
      </w:r>
      <w:r>
        <w:rPr>
          <w:rFonts w:hint="eastAsia"/>
          <w:szCs w:val="24"/>
        </w:rPr>
        <w:t>region</w:t>
      </w:r>
      <w:r>
        <w:rPr>
          <w:szCs w:val="24"/>
        </w:rPr>
        <w:t xml:space="preserve"> ID, </w:t>
      </w:r>
      <w:r>
        <w:rPr>
          <w:rFonts w:hint="eastAsia"/>
          <w:szCs w:val="24"/>
        </w:rPr>
        <w:t>region</w:t>
      </w:r>
      <w:r>
        <w:rPr>
          <w:szCs w:val="24"/>
        </w:rPr>
        <w:t xml:space="preserve"> code, and </w:t>
      </w:r>
      <w:r>
        <w:rPr>
          <w:rFonts w:hint="eastAsia"/>
          <w:szCs w:val="24"/>
        </w:rPr>
        <w:t>region</w:t>
      </w:r>
      <w:r>
        <w:rPr>
          <w:szCs w:val="24"/>
        </w:rPr>
        <w:t xml:space="preserve"> name can be customized by users. Information such as grid columns, rows, and </w:t>
      </w:r>
      <w:r>
        <w:rPr>
          <w:rFonts w:hint="eastAsia"/>
          <w:szCs w:val="24"/>
        </w:rPr>
        <w:t>region</w:t>
      </w:r>
      <w:r>
        <w:rPr>
          <w:szCs w:val="24"/>
        </w:rPr>
        <w:t xml:space="preserve"> ratios need to be calculated and obtained by ArcGIS.</w:t>
      </w:r>
    </w:p>
    <w:p>
      <w:pPr>
        <w:pStyle w:val="65"/>
        <w:spacing w:line="360" w:lineRule="auto"/>
        <w:rPr>
          <w:szCs w:val="24"/>
        </w:rPr>
      </w:pPr>
      <w:r>
        <w:rPr>
          <w:b/>
          <w:szCs w:val="24"/>
        </w:rPr>
        <w:t>Mapping File:</w:t>
      </w:r>
      <w:r>
        <w:rPr>
          <w:szCs w:val="24"/>
        </w:rPr>
        <w:t xml:space="preserve"> A *.csv file, which is used to link the tagged variables of CAMx model data with control factors (Region, Pollutant, Source) for FAST-CE. The columns in this file indicate in turn: tagged variables of CAMx model data, names used to identify different items, region, source, and pollutant. The names used to identify different items can be customized by users, and the control factors (Region, Pollutant, Source) were derived from the emission file.</w:t>
      </w:r>
    </w:p>
    <w:p>
      <w:pPr>
        <w:pStyle w:val="65"/>
        <w:spacing w:line="360" w:lineRule="auto"/>
        <w:rPr>
          <w:szCs w:val="24"/>
        </w:rPr>
      </w:pPr>
      <w:r>
        <w:rPr>
          <w:b/>
          <w:szCs w:val="24"/>
        </w:rPr>
        <w:t>Baseline Spatial Field File:</w:t>
      </w:r>
      <w:r>
        <w:rPr>
          <w:szCs w:val="24"/>
        </w:rPr>
        <w:t xml:space="preserve"> A *.csv file contains the baseline spatial field information, which is generally created by SMAT-CE. For O</w:t>
      </w:r>
      <w:r>
        <w:rPr>
          <w:szCs w:val="24"/>
          <w:vertAlign w:val="subscript"/>
        </w:rPr>
        <w:t>3</w:t>
      </w:r>
      <w:r>
        <w:rPr>
          <w:szCs w:val="24"/>
        </w:rPr>
        <w:t xml:space="preserve"> analysis, it contains 14 headers (</w:t>
      </w:r>
      <w:r>
        <w:rPr>
          <w:szCs w:val="24"/>
        </w:rPr>
        <w:fldChar w:fldCharType="begin"/>
      </w:r>
      <w:r>
        <w:rPr>
          <w:szCs w:val="24"/>
        </w:rPr>
        <w:instrText xml:space="preserve"> REF _Ref44340935 \h  \* MERGEFORMAT </w:instrText>
      </w:r>
      <w:r>
        <w:rPr>
          <w:szCs w:val="24"/>
        </w:rPr>
        <w:fldChar w:fldCharType="separate"/>
      </w:r>
      <w:r>
        <w:t>Table 1</w:t>
      </w:r>
      <w:r>
        <w:rPr>
          <w:szCs w:val="24"/>
        </w:rPr>
        <w:fldChar w:fldCharType="end"/>
      </w:r>
      <w:r>
        <w:rPr>
          <w:szCs w:val="24"/>
        </w:rPr>
        <w:t>), while for PM</w:t>
      </w:r>
      <w:r>
        <w:rPr>
          <w:szCs w:val="24"/>
          <w:vertAlign w:val="subscript"/>
        </w:rPr>
        <w:t>2.5</w:t>
      </w:r>
      <w:r>
        <w:rPr>
          <w:szCs w:val="24"/>
        </w:rPr>
        <w:t xml:space="preserve"> analysis, it contains 32 headers (</w:t>
      </w:r>
      <w:r>
        <w:rPr>
          <w:szCs w:val="24"/>
        </w:rPr>
        <w:fldChar w:fldCharType="begin"/>
      </w:r>
      <w:r>
        <w:rPr>
          <w:szCs w:val="24"/>
        </w:rPr>
        <w:instrText xml:space="preserve"> REF _Ref44340944 \h  \* MERGEFORMAT </w:instrText>
      </w:r>
      <w:r>
        <w:rPr>
          <w:szCs w:val="24"/>
        </w:rPr>
        <w:fldChar w:fldCharType="separate"/>
      </w:r>
      <w:r>
        <w:t>Table 2</w:t>
      </w:r>
      <w:r>
        <w:rPr>
          <w:szCs w:val="24"/>
        </w:rPr>
        <w:fldChar w:fldCharType="end"/>
      </w:r>
      <w:r>
        <w:rPr>
          <w:szCs w:val="24"/>
        </w:rPr>
        <w:t>). The meaning of each header can refer to User’s Manual for SMAT-CE.</w:t>
      </w:r>
    </w:p>
    <w:p>
      <w:pPr>
        <w:pStyle w:val="11"/>
        <w:spacing w:line="360" w:lineRule="auto"/>
        <w:ind w:firstLine="240"/>
        <w:rPr>
          <w:rFonts w:cs="Times New Roman"/>
          <w:szCs w:val="24"/>
        </w:rPr>
      </w:pPr>
      <w:bookmarkStart w:id="52" w:name="_Ref44340935"/>
      <w:bookmarkStart w:id="53" w:name="_Toc122982092"/>
      <w:r>
        <w:t xml:space="preserve">Table </w:t>
      </w:r>
      <w:r>
        <w:fldChar w:fldCharType="begin"/>
      </w:r>
      <w:r>
        <w:instrText xml:space="preserve"> SEQ Table \* ARABIC </w:instrText>
      </w:r>
      <w:r>
        <w:fldChar w:fldCharType="separate"/>
      </w:r>
      <w:r>
        <w:t>1</w:t>
      </w:r>
      <w:r>
        <w:fldChar w:fldCharType="end"/>
      </w:r>
      <w:bookmarkEnd w:id="52"/>
      <w:r>
        <w:t>. The headers of Baseline Spatial Field File for O</w:t>
      </w:r>
      <w:r>
        <w:rPr>
          <w:vertAlign w:val="subscript"/>
        </w:rPr>
        <w:t>3</w:t>
      </w:r>
      <w:r>
        <w:t xml:space="preserve"> analysis</w:t>
      </w:r>
      <w:bookmarkEnd w:id="53"/>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1"/>
        <w:gridCol w:w="2447"/>
        <w:gridCol w:w="2074"/>
        <w:gridCol w:w="20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701" w:type="dxa"/>
            <w:shd w:val="clear" w:color="auto" w:fill="B4C6E7" w:themeFill="accent1" w:themeFillTint="66"/>
            <w:vAlign w:val="center"/>
          </w:tcPr>
          <w:p>
            <w:pPr>
              <w:jc w:val="center"/>
              <w:rPr>
                <w:rFonts w:cs="Times New Roman"/>
                <w:szCs w:val="24"/>
              </w:rPr>
            </w:pPr>
            <w:r>
              <w:rPr>
                <w:rFonts w:hint="eastAsia" w:cs="Times New Roman"/>
                <w:szCs w:val="24"/>
              </w:rPr>
              <w:t>N</w:t>
            </w:r>
            <w:r>
              <w:rPr>
                <w:rFonts w:cs="Times New Roman"/>
                <w:szCs w:val="24"/>
              </w:rPr>
              <w:t>o.</w:t>
            </w:r>
          </w:p>
        </w:tc>
        <w:tc>
          <w:tcPr>
            <w:tcW w:w="2447" w:type="dxa"/>
            <w:shd w:val="clear" w:color="auto" w:fill="B4C6E7" w:themeFill="accent1" w:themeFillTint="66"/>
            <w:vAlign w:val="center"/>
          </w:tcPr>
          <w:p>
            <w:pPr>
              <w:jc w:val="center"/>
              <w:rPr>
                <w:rFonts w:cs="Times New Roman"/>
                <w:szCs w:val="24"/>
              </w:rPr>
            </w:pPr>
            <w:r>
              <w:rPr>
                <w:rFonts w:cs="Times New Roman"/>
                <w:szCs w:val="24"/>
              </w:rPr>
              <w:t>Header name</w:t>
            </w:r>
          </w:p>
        </w:tc>
        <w:tc>
          <w:tcPr>
            <w:tcW w:w="2074" w:type="dxa"/>
            <w:shd w:val="clear" w:color="auto" w:fill="B4C6E7" w:themeFill="accent1" w:themeFillTint="66"/>
            <w:vAlign w:val="center"/>
          </w:tcPr>
          <w:p>
            <w:pPr>
              <w:jc w:val="center"/>
              <w:rPr>
                <w:rFonts w:cs="Times New Roman"/>
                <w:szCs w:val="24"/>
              </w:rPr>
            </w:pPr>
            <w:r>
              <w:rPr>
                <w:rFonts w:hint="eastAsia" w:cs="Times New Roman"/>
                <w:szCs w:val="24"/>
              </w:rPr>
              <w:t>N</w:t>
            </w:r>
            <w:r>
              <w:rPr>
                <w:rFonts w:cs="Times New Roman"/>
                <w:szCs w:val="24"/>
              </w:rPr>
              <w:t>o.</w:t>
            </w:r>
          </w:p>
        </w:tc>
        <w:tc>
          <w:tcPr>
            <w:tcW w:w="2074" w:type="dxa"/>
            <w:shd w:val="clear" w:color="auto" w:fill="B4C6E7" w:themeFill="accent1" w:themeFillTint="66"/>
            <w:vAlign w:val="center"/>
          </w:tcPr>
          <w:p>
            <w:pPr>
              <w:jc w:val="center"/>
              <w:rPr>
                <w:rFonts w:cs="Times New Roman"/>
                <w:szCs w:val="24"/>
              </w:rPr>
            </w:pPr>
            <w:r>
              <w:rPr>
                <w:rFonts w:cs="Times New Roman"/>
                <w:szCs w:val="24"/>
              </w:rPr>
              <w:t>Header name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pPr>
              <w:jc w:val="center"/>
              <w:rPr>
                <w:rFonts w:cs="Times New Roman"/>
                <w:szCs w:val="24"/>
              </w:rPr>
            </w:pPr>
            <w:r>
              <w:rPr>
                <w:rFonts w:hint="eastAsia" w:cs="Times New Roman"/>
                <w:szCs w:val="24"/>
              </w:rPr>
              <w:t>1</w:t>
            </w:r>
          </w:p>
        </w:tc>
        <w:tc>
          <w:tcPr>
            <w:tcW w:w="2447" w:type="dxa"/>
            <w:vAlign w:val="center"/>
          </w:tcPr>
          <w:p>
            <w:pPr>
              <w:jc w:val="center"/>
              <w:rPr>
                <w:rFonts w:cs="Times New Roman"/>
                <w:szCs w:val="24"/>
              </w:rPr>
            </w:pPr>
            <w:r>
              <w:rPr>
                <w:rFonts w:cs="Times New Roman"/>
                <w:szCs w:val="24"/>
              </w:rPr>
              <w:t>_id</w:t>
            </w:r>
          </w:p>
        </w:tc>
        <w:tc>
          <w:tcPr>
            <w:tcW w:w="2074" w:type="dxa"/>
            <w:vAlign w:val="center"/>
          </w:tcPr>
          <w:p>
            <w:pPr>
              <w:jc w:val="center"/>
              <w:rPr>
                <w:rFonts w:cs="Times New Roman"/>
                <w:szCs w:val="24"/>
              </w:rPr>
            </w:pPr>
            <w:r>
              <w:rPr>
                <w:rFonts w:hint="eastAsia" w:cs="Times New Roman"/>
                <w:szCs w:val="24"/>
              </w:rPr>
              <w:t>8</w:t>
            </w:r>
          </w:p>
        </w:tc>
        <w:tc>
          <w:tcPr>
            <w:tcW w:w="2074" w:type="dxa"/>
            <w:vAlign w:val="center"/>
          </w:tcPr>
          <w:p>
            <w:pPr>
              <w:jc w:val="center"/>
              <w:rPr>
                <w:rFonts w:cs="Times New Roman"/>
                <w:szCs w:val="24"/>
              </w:rPr>
            </w:pPr>
            <w:r>
              <w:rPr>
                <w:rFonts w:cs="Times New Roman"/>
                <w:szCs w:val="24"/>
              </w:rPr>
              <w:t>i_f_o3(eVNA)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pPr>
              <w:jc w:val="center"/>
              <w:rPr>
                <w:rFonts w:cs="Times New Roman"/>
                <w:szCs w:val="24"/>
              </w:rPr>
            </w:pPr>
            <w:r>
              <w:rPr>
                <w:rFonts w:hint="eastAsia" w:cs="Times New Roman"/>
                <w:szCs w:val="24"/>
              </w:rPr>
              <w:t>2</w:t>
            </w:r>
          </w:p>
        </w:tc>
        <w:tc>
          <w:tcPr>
            <w:tcW w:w="2447" w:type="dxa"/>
            <w:vAlign w:val="center"/>
          </w:tcPr>
          <w:p>
            <w:pPr>
              <w:jc w:val="center"/>
              <w:rPr>
                <w:rFonts w:cs="Times New Roman"/>
                <w:szCs w:val="24"/>
              </w:rPr>
            </w:pPr>
            <w:r>
              <w:rPr>
                <w:rFonts w:cs="Times New Roman"/>
                <w:szCs w:val="24"/>
              </w:rPr>
              <w:t>_type</w:t>
            </w:r>
          </w:p>
        </w:tc>
        <w:tc>
          <w:tcPr>
            <w:tcW w:w="2074" w:type="dxa"/>
            <w:vAlign w:val="center"/>
          </w:tcPr>
          <w:p>
            <w:pPr>
              <w:jc w:val="center"/>
              <w:rPr>
                <w:rFonts w:cs="Times New Roman"/>
                <w:szCs w:val="24"/>
              </w:rPr>
            </w:pPr>
            <w:r>
              <w:rPr>
                <w:rFonts w:hint="eastAsia" w:cs="Times New Roman"/>
                <w:szCs w:val="24"/>
              </w:rPr>
              <w:t>9</w:t>
            </w:r>
          </w:p>
        </w:tc>
        <w:tc>
          <w:tcPr>
            <w:tcW w:w="2074" w:type="dxa"/>
            <w:vAlign w:val="center"/>
          </w:tcPr>
          <w:p>
            <w:pPr>
              <w:jc w:val="center"/>
              <w:rPr>
                <w:rFonts w:cs="Times New Roman"/>
                <w:szCs w:val="24"/>
              </w:rPr>
            </w:pPr>
            <w:r>
              <w:rPr>
                <w:rFonts w:cs="Times New Roman"/>
                <w:szCs w:val="24"/>
              </w:rPr>
              <w:t>b_o3_model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pPr>
              <w:jc w:val="center"/>
              <w:rPr>
                <w:rFonts w:cs="Times New Roman"/>
                <w:szCs w:val="24"/>
              </w:rPr>
            </w:pPr>
            <w:r>
              <w:rPr>
                <w:rFonts w:hint="eastAsia" w:cs="Times New Roman"/>
                <w:szCs w:val="24"/>
              </w:rPr>
              <w:t>3</w:t>
            </w:r>
          </w:p>
        </w:tc>
        <w:tc>
          <w:tcPr>
            <w:tcW w:w="2447" w:type="dxa"/>
            <w:vAlign w:val="center"/>
          </w:tcPr>
          <w:p>
            <w:pPr>
              <w:jc w:val="center"/>
              <w:rPr>
                <w:rFonts w:cs="Times New Roman"/>
                <w:szCs w:val="24"/>
              </w:rPr>
            </w:pPr>
            <w:r>
              <w:rPr>
                <w:rFonts w:cs="Times New Roman"/>
                <w:szCs w:val="24"/>
              </w:rPr>
              <w:t>lat</w:t>
            </w:r>
          </w:p>
        </w:tc>
        <w:tc>
          <w:tcPr>
            <w:tcW w:w="2074" w:type="dxa"/>
            <w:vAlign w:val="center"/>
          </w:tcPr>
          <w:p>
            <w:pPr>
              <w:jc w:val="center"/>
              <w:rPr>
                <w:rFonts w:cs="Times New Roman"/>
                <w:szCs w:val="24"/>
              </w:rPr>
            </w:pPr>
            <w:r>
              <w:rPr>
                <w:rFonts w:hint="eastAsia" w:cs="Times New Roman"/>
                <w:szCs w:val="24"/>
              </w:rPr>
              <w:t>1</w:t>
            </w:r>
            <w:r>
              <w:rPr>
                <w:rFonts w:cs="Times New Roman"/>
                <w:szCs w:val="24"/>
              </w:rPr>
              <w:t>0</w:t>
            </w:r>
          </w:p>
        </w:tc>
        <w:tc>
          <w:tcPr>
            <w:tcW w:w="2074" w:type="dxa"/>
            <w:vAlign w:val="center"/>
          </w:tcPr>
          <w:p>
            <w:pPr>
              <w:jc w:val="center"/>
              <w:rPr>
                <w:rFonts w:cs="Times New Roman"/>
                <w:szCs w:val="24"/>
              </w:rPr>
            </w:pPr>
            <w:r>
              <w:rPr>
                <w:rFonts w:cs="Times New Roman"/>
                <w:szCs w:val="24"/>
              </w:rPr>
              <w:t>f_o3_model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pPr>
              <w:jc w:val="center"/>
              <w:rPr>
                <w:rFonts w:cs="Times New Roman"/>
                <w:szCs w:val="24"/>
              </w:rPr>
            </w:pPr>
            <w:r>
              <w:rPr>
                <w:rFonts w:hint="eastAsia" w:cs="Times New Roman"/>
                <w:szCs w:val="24"/>
              </w:rPr>
              <w:t>4</w:t>
            </w:r>
          </w:p>
        </w:tc>
        <w:tc>
          <w:tcPr>
            <w:tcW w:w="2447" w:type="dxa"/>
            <w:vAlign w:val="center"/>
          </w:tcPr>
          <w:p>
            <w:pPr>
              <w:jc w:val="center"/>
              <w:rPr>
                <w:rFonts w:cs="Times New Roman"/>
                <w:szCs w:val="24"/>
              </w:rPr>
            </w:pPr>
            <w:r>
              <w:rPr>
                <w:rFonts w:cs="Times New Roman"/>
                <w:szCs w:val="24"/>
              </w:rPr>
              <w:t>long</w:t>
            </w:r>
          </w:p>
        </w:tc>
        <w:tc>
          <w:tcPr>
            <w:tcW w:w="2074" w:type="dxa"/>
            <w:vAlign w:val="center"/>
          </w:tcPr>
          <w:p>
            <w:pPr>
              <w:jc w:val="center"/>
              <w:rPr>
                <w:rFonts w:cs="Times New Roman"/>
                <w:szCs w:val="24"/>
              </w:rPr>
            </w:pPr>
            <w:r>
              <w:rPr>
                <w:rFonts w:hint="eastAsia" w:cs="Times New Roman"/>
                <w:szCs w:val="24"/>
              </w:rPr>
              <w:t>1</w:t>
            </w:r>
            <w:r>
              <w:rPr>
                <w:rFonts w:cs="Times New Roman"/>
                <w:szCs w:val="24"/>
              </w:rPr>
              <w:t>1</w:t>
            </w:r>
          </w:p>
        </w:tc>
        <w:tc>
          <w:tcPr>
            <w:tcW w:w="2074" w:type="dxa"/>
            <w:vAlign w:val="center"/>
          </w:tcPr>
          <w:p>
            <w:pPr>
              <w:jc w:val="center"/>
              <w:rPr>
                <w:rFonts w:cs="Times New Roman"/>
                <w:szCs w:val="24"/>
              </w:rPr>
            </w:pPr>
            <w:r>
              <w:rPr>
                <w:rFonts w:cs="Times New Roman"/>
                <w:szCs w:val="24"/>
              </w:rPr>
              <w:t>ppb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pPr>
              <w:jc w:val="center"/>
              <w:rPr>
                <w:rFonts w:cs="Times New Roman"/>
                <w:szCs w:val="24"/>
              </w:rPr>
            </w:pPr>
            <w:r>
              <w:rPr>
                <w:rFonts w:hint="eastAsia" w:cs="Times New Roman"/>
                <w:szCs w:val="24"/>
              </w:rPr>
              <w:t>5</w:t>
            </w:r>
          </w:p>
        </w:tc>
        <w:tc>
          <w:tcPr>
            <w:tcW w:w="2447" w:type="dxa"/>
            <w:vAlign w:val="center"/>
          </w:tcPr>
          <w:p>
            <w:pPr>
              <w:jc w:val="center"/>
              <w:rPr>
                <w:rFonts w:cs="Times New Roman"/>
                <w:szCs w:val="24"/>
              </w:rPr>
            </w:pPr>
            <w:r>
              <w:rPr>
                <w:rFonts w:cs="Times New Roman"/>
                <w:szCs w:val="24"/>
              </w:rPr>
              <w:t>date</w:t>
            </w:r>
          </w:p>
        </w:tc>
        <w:tc>
          <w:tcPr>
            <w:tcW w:w="2074" w:type="dxa"/>
            <w:vAlign w:val="center"/>
          </w:tcPr>
          <w:p>
            <w:pPr>
              <w:jc w:val="center"/>
              <w:rPr>
                <w:rFonts w:cs="Times New Roman"/>
                <w:szCs w:val="24"/>
              </w:rPr>
            </w:pPr>
            <w:r>
              <w:rPr>
                <w:rFonts w:hint="eastAsia" w:cs="Times New Roman"/>
                <w:szCs w:val="24"/>
              </w:rPr>
              <w:t>1</w:t>
            </w:r>
            <w:r>
              <w:rPr>
                <w:rFonts w:cs="Times New Roman"/>
                <w:szCs w:val="24"/>
              </w:rPr>
              <w:t>2</w:t>
            </w:r>
          </w:p>
        </w:tc>
        <w:tc>
          <w:tcPr>
            <w:tcW w:w="2074" w:type="dxa"/>
            <w:vAlign w:val="center"/>
          </w:tcPr>
          <w:p>
            <w:pPr>
              <w:jc w:val="center"/>
              <w:rPr>
                <w:rFonts w:cs="Times New Roman"/>
                <w:szCs w:val="24"/>
              </w:rPr>
            </w:pPr>
            <w:r>
              <w:rPr>
                <w:rFonts w:cs="Times New Roman"/>
                <w:szCs w:val="24"/>
              </w:rPr>
              <w:t>days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pPr>
              <w:jc w:val="center"/>
              <w:rPr>
                <w:rFonts w:cs="Times New Roman"/>
                <w:szCs w:val="24"/>
              </w:rPr>
            </w:pPr>
            <w:r>
              <w:rPr>
                <w:rFonts w:hint="eastAsia" w:cs="Times New Roman"/>
                <w:szCs w:val="24"/>
              </w:rPr>
              <w:t>6</w:t>
            </w:r>
          </w:p>
        </w:tc>
        <w:tc>
          <w:tcPr>
            <w:tcW w:w="2447" w:type="dxa"/>
            <w:vAlign w:val="center"/>
          </w:tcPr>
          <w:p>
            <w:pPr>
              <w:jc w:val="center"/>
              <w:rPr>
                <w:rFonts w:cs="Times New Roman"/>
                <w:szCs w:val="24"/>
              </w:rPr>
            </w:pPr>
            <w:r>
              <w:rPr>
                <w:rFonts w:cs="Times New Roman"/>
                <w:szCs w:val="24"/>
              </w:rPr>
              <w:t>ga_conc</w:t>
            </w:r>
          </w:p>
        </w:tc>
        <w:tc>
          <w:tcPr>
            <w:tcW w:w="2074" w:type="dxa"/>
            <w:vAlign w:val="center"/>
          </w:tcPr>
          <w:p>
            <w:pPr>
              <w:jc w:val="center"/>
              <w:rPr>
                <w:rFonts w:cs="Times New Roman"/>
                <w:szCs w:val="24"/>
              </w:rPr>
            </w:pPr>
            <w:r>
              <w:rPr>
                <w:rFonts w:hint="eastAsia" w:cs="Times New Roman"/>
                <w:szCs w:val="24"/>
              </w:rPr>
              <w:t>1</w:t>
            </w:r>
            <w:r>
              <w:rPr>
                <w:rFonts w:cs="Times New Roman"/>
                <w:szCs w:val="24"/>
              </w:rPr>
              <w:t>3</w:t>
            </w:r>
          </w:p>
        </w:tc>
        <w:tc>
          <w:tcPr>
            <w:tcW w:w="2074" w:type="dxa"/>
            <w:vAlign w:val="center"/>
          </w:tcPr>
          <w:p>
            <w:pPr>
              <w:jc w:val="center"/>
              <w:rPr>
                <w:rFonts w:cs="Times New Roman"/>
                <w:szCs w:val="24"/>
              </w:rPr>
            </w:pPr>
            <w:r>
              <w:rPr>
                <w:rFonts w:cs="Times New Roman"/>
                <w:szCs w:val="24"/>
              </w:rPr>
              <w:t>referencecell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1" w:type="dxa"/>
            <w:vAlign w:val="center"/>
          </w:tcPr>
          <w:p>
            <w:pPr>
              <w:jc w:val="center"/>
              <w:rPr>
                <w:rFonts w:cs="Times New Roman"/>
                <w:szCs w:val="24"/>
              </w:rPr>
            </w:pPr>
            <w:r>
              <w:rPr>
                <w:rFonts w:hint="eastAsia" w:cs="Times New Roman"/>
                <w:szCs w:val="24"/>
              </w:rPr>
              <w:t>7</w:t>
            </w:r>
          </w:p>
        </w:tc>
        <w:tc>
          <w:tcPr>
            <w:tcW w:w="2447" w:type="dxa"/>
            <w:vAlign w:val="center"/>
          </w:tcPr>
          <w:p>
            <w:pPr>
              <w:jc w:val="center"/>
              <w:rPr>
                <w:rFonts w:cs="Times New Roman"/>
                <w:szCs w:val="24"/>
              </w:rPr>
            </w:pPr>
            <w:r>
              <w:rPr>
                <w:rFonts w:cs="Times New Roman"/>
                <w:szCs w:val="24"/>
              </w:rPr>
              <w:t>i_b_o3(eVNA)</w:t>
            </w:r>
          </w:p>
        </w:tc>
        <w:tc>
          <w:tcPr>
            <w:tcW w:w="2074" w:type="dxa"/>
            <w:vAlign w:val="center"/>
          </w:tcPr>
          <w:p>
            <w:pPr>
              <w:jc w:val="center"/>
              <w:rPr>
                <w:rFonts w:cs="Times New Roman"/>
                <w:szCs w:val="24"/>
              </w:rPr>
            </w:pPr>
            <w:r>
              <w:rPr>
                <w:rFonts w:hint="eastAsia" w:cs="Times New Roman"/>
                <w:szCs w:val="24"/>
              </w:rPr>
              <w:t>1</w:t>
            </w:r>
            <w:r>
              <w:rPr>
                <w:rFonts w:cs="Times New Roman"/>
                <w:szCs w:val="24"/>
              </w:rPr>
              <w:t>4</w:t>
            </w:r>
          </w:p>
        </w:tc>
        <w:tc>
          <w:tcPr>
            <w:tcW w:w="2074" w:type="dxa"/>
            <w:vAlign w:val="center"/>
          </w:tcPr>
          <w:p>
            <w:pPr>
              <w:jc w:val="center"/>
              <w:rPr>
                <w:rFonts w:cs="Times New Roman"/>
                <w:szCs w:val="24"/>
              </w:rPr>
            </w:pPr>
            <w:r>
              <w:rPr>
                <w:rFonts w:cs="Times New Roman"/>
                <w:szCs w:val="24"/>
              </w:rPr>
              <w:t>rrf</w:t>
            </w:r>
          </w:p>
        </w:tc>
      </w:tr>
    </w:tbl>
    <w:p>
      <w:pPr>
        <w:pStyle w:val="11"/>
        <w:spacing w:before="240" w:beforeLines="100" w:line="360" w:lineRule="auto"/>
        <w:ind w:firstLine="240"/>
        <w:rPr>
          <w:rFonts w:cs="Times New Roman"/>
          <w:szCs w:val="24"/>
        </w:rPr>
      </w:pPr>
      <w:bookmarkStart w:id="54" w:name="_Ref44340944"/>
      <w:bookmarkStart w:id="55" w:name="_Toc122982093"/>
      <w:r>
        <w:t xml:space="preserve">Table </w:t>
      </w:r>
      <w:r>
        <w:fldChar w:fldCharType="begin"/>
      </w:r>
      <w:r>
        <w:instrText xml:space="preserve"> SEQ Table \* ARABIC </w:instrText>
      </w:r>
      <w:r>
        <w:fldChar w:fldCharType="separate"/>
      </w:r>
      <w:r>
        <w:t>2</w:t>
      </w:r>
      <w:r>
        <w:fldChar w:fldCharType="end"/>
      </w:r>
      <w:bookmarkEnd w:id="54"/>
      <w:r>
        <w:t>. The headers of Baseline Spatial Field File for PM</w:t>
      </w:r>
      <w:r>
        <w:rPr>
          <w:vertAlign w:val="subscript"/>
        </w:rPr>
        <w:t>2.5</w:t>
      </w:r>
      <w:r>
        <w:t xml:space="preserve"> analysis</w:t>
      </w:r>
      <w:bookmarkEnd w:id="55"/>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3014"/>
        <w:gridCol w:w="955"/>
        <w:gridCol w:w="31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134" w:type="dxa"/>
            <w:shd w:val="clear" w:color="auto" w:fill="B4C6E7" w:themeFill="accent1" w:themeFillTint="66"/>
            <w:vAlign w:val="center"/>
          </w:tcPr>
          <w:p>
            <w:pPr>
              <w:jc w:val="center"/>
              <w:rPr>
                <w:rFonts w:cs="Times New Roman"/>
                <w:szCs w:val="24"/>
              </w:rPr>
            </w:pPr>
            <w:r>
              <w:rPr>
                <w:rFonts w:hint="eastAsia" w:cs="Times New Roman"/>
                <w:szCs w:val="24"/>
              </w:rPr>
              <w:t>N</w:t>
            </w:r>
            <w:r>
              <w:rPr>
                <w:rFonts w:cs="Times New Roman"/>
                <w:szCs w:val="24"/>
              </w:rPr>
              <w:t>o.</w:t>
            </w:r>
          </w:p>
        </w:tc>
        <w:tc>
          <w:tcPr>
            <w:tcW w:w="3014" w:type="dxa"/>
            <w:shd w:val="clear" w:color="auto" w:fill="B4C6E7" w:themeFill="accent1" w:themeFillTint="66"/>
            <w:vAlign w:val="center"/>
          </w:tcPr>
          <w:p>
            <w:pPr>
              <w:jc w:val="center"/>
              <w:rPr>
                <w:rFonts w:cs="Times New Roman"/>
                <w:szCs w:val="24"/>
              </w:rPr>
            </w:pPr>
            <w:r>
              <w:rPr>
                <w:rFonts w:cs="Times New Roman"/>
                <w:szCs w:val="24"/>
              </w:rPr>
              <w:t>Header name</w:t>
            </w:r>
          </w:p>
        </w:tc>
        <w:tc>
          <w:tcPr>
            <w:tcW w:w="955" w:type="dxa"/>
            <w:shd w:val="clear" w:color="auto" w:fill="B4C6E7" w:themeFill="accent1" w:themeFillTint="66"/>
            <w:vAlign w:val="center"/>
          </w:tcPr>
          <w:p>
            <w:pPr>
              <w:jc w:val="center"/>
              <w:rPr>
                <w:rFonts w:cs="Times New Roman"/>
                <w:szCs w:val="24"/>
              </w:rPr>
            </w:pPr>
            <w:r>
              <w:rPr>
                <w:rFonts w:hint="eastAsia" w:cs="Times New Roman"/>
                <w:szCs w:val="24"/>
              </w:rPr>
              <w:t>N</w:t>
            </w:r>
            <w:r>
              <w:rPr>
                <w:rFonts w:cs="Times New Roman"/>
                <w:szCs w:val="24"/>
              </w:rPr>
              <w:t>o.</w:t>
            </w:r>
          </w:p>
        </w:tc>
        <w:tc>
          <w:tcPr>
            <w:tcW w:w="3193" w:type="dxa"/>
            <w:shd w:val="clear" w:color="auto" w:fill="B4C6E7" w:themeFill="accent1" w:themeFillTint="66"/>
            <w:vAlign w:val="center"/>
          </w:tcPr>
          <w:p>
            <w:pPr>
              <w:jc w:val="center"/>
              <w:rPr>
                <w:rFonts w:cs="Times New Roman"/>
                <w:szCs w:val="24"/>
              </w:rPr>
            </w:pPr>
            <w:r>
              <w:rPr>
                <w:rFonts w:cs="Times New Roman"/>
                <w:szCs w:val="24"/>
              </w:rPr>
              <w:t>Header name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34" w:type="dxa"/>
            <w:vAlign w:val="center"/>
          </w:tcPr>
          <w:p>
            <w:pPr>
              <w:jc w:val="center"/>
              <w:rPr>
                <w:rFonts w:cs="Times New Roman"/>
                <w:szCs w:val="24"/>
              </w:rPr>
            </w:pPr>
            <w:r>
              <w:rPr>
                <w:rFonts w:hint="eastAsia" w:cs="Times New Roman"/>
                <w:szCs w:val="24"/>
              </w:rPr>
              <w:t>1</w:t>
            </w:r>
          </w:p>
        </w:tc>
        <w:tc>
          <w:tcPr>
            <w:tcW w:w="3014" w:type="dxa"/>
            <w:vAlign w:val="center"/>
          </w:tcPr>
          <w:p>
            <w:pPr>
              <w:jc w:val="center"/>
              <w:rPr>
                <w:rFonts w:cs="Times New Roman"/>
                <w:szCs w:val="24"/>
              </w:rPr>
            </w:pPr>
            <w:r>
              <w:rPr>
                <w:rFonts w:cs="Times New Roman"/>
                <w:szCs w:val="24"/>
              </w:rPr>
              <w:t>_id</w:t>
            </w:r>
          </w:p>
        </w:tc>
        <w:tc>
          <w:tcPr>
            <w:tcW w:w="955" w:type="dxa"/>
            <w:vAlign w:val="center"/>
          </w:tcPr>
          <w:p>
            <w:pPr>
              <w:jc w:val="center"/>
              <w:rPr>
                <w:rFonts w:cs="Times New Roman"/>
                <w:szCs w:val="24"/>
              </w:rPr>
            </w:pPr>
            <w:r>
              <w:rPr>
                <w:rFonts w:hint="eastAsia" w:cs="Times New Roman"/>
                <w:szCs w:val="24"/>
              </w:rPr>
              <w:t>1</w:t>
            </w:r>
            <w:r>
              <w:rPr>
                <w:rFonts w:cs="Times New Roman"/>
                <w:szCs w:val="24"/>
              </w:rPr>
              <w:t>7</w:t>
            </w:r>
          </w:p>
        </w:tc>
        <w:tc>
          <w:tcPr>
            <w:tcW w:w="3193" w:type="dxa"/>
            <w:vAlign w:val="center"/>
          </w:tcPr>
          <w:p>
            <w:pPr>
              <w:jc w:val="center"/>
              <w:rPr>
                <w:rFonts w:cs="Times New Roman"/>
                <w:szCs w:val="24"/>
              </w:rPr>
            </w:pPr>
            <w:r>
              <w:rPr>
                <w:rFonts w:cs="Times New Roman"/>
                <w:szCs w:val="24"/>
              </w:rPr>
              <w:t>f_crustal_mass_q_ga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34" w:type="dxa"/>
            <w:vAlign w:val="center"/>
          </w:tcPr>
          <w:p>
            <w:pPr>
              <w:jc w:val="center"/>
              <w:rPr>
                <w:rFonts w:cs="Times New Roman"/>
                <w:szCs w:val="24"/>
              </w:rPr>
            </w:pPr>
            <w:r>
              <w:rPr>
                <w:rFonts w:hint="eastAsia" w:cs="Times New Roman"/>
                <w:szCs w:val="24"/>
              </w:rPr>
              <w:t>2</w:t>
            </w:r>
          </w:p>
        </w:tc>
        <w:tc>
          <w:tcPr>
            <w:tcW w:w="3014" w:type="dxa"/>
            <w:vAlign w:val="center"/>
          </w:tcPr>
          <w:p>
            <w:pPr>
              <w:jc w:val="center"/>
              <w:rPr>
                <w:rFonts w:cs="Times New Roman"/>
                <w:szCs w:val="24"/>
              </w:rPr>
            </w:pPr>
            <w:r>
              <w:rPr>
                <w:rFonts w:cs="Times New Roman"/>
                <w:szCs w:val="24"/>
              </w:rPr>
              <w:t>gridcell_lat</w:t>
            </w:r>
          </w:p>
        </w:tc>
        <w:tc>
          <w:tcPr>
            <w:tcW w:w="955" w:type="dxa"/>
            <w:vAlign w:val="center"/>
          </w:tcPr>
          <w:p>
            <w:pPr>
              <w:jc w:val="center"/>
              <w:rPr>
                <w:rFonts w:cs="Times New Roman"/>
                <w:szCs w:val="24"/>
              </w:rPr>
            </w:pPr>
            <w:r>
              <w:rPr>
                <w:rFonts w:hint="eastAsia" w:cs="Times New Roman"/>
                <w:szCs w:val="24"/>
              </w:rPr>
              <w:t>1</w:t>
            </w:r>
            <w:r>
              <w:rPr>
                <w:rFonts w:cs="Times New Roman"/>
                <w:szCs w:val="24"/>
              </w:rPr>
              <w:t>8</w:t>
            </w:r>
          </w:p>
        </w:tc>
        <w:tc>
          <w:tcPr>
            <w:tcW w:w="3193" w:type="dxa"/>
            <w:vAlign w:val="center"/>
          </w:tcPr>
          <w:p>
            <w:pPr>
              <w:jc w:val="center"/>
              <w:rPr>
                <w:rFonts w:cs="Times New Roman"/>
                <w:szCs w:val="24"/>
              </w:rPr>
            </w:pPr>
            <w:r>
              <w:rPr>
                <w:rFonts w:cs="Times New Roman"/>
                <w:szCs w:val="24"/>
              </w:rPr>
              <w:t>f_EC_mass_q_ga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34" w:type="dxa"/>
            <w:vAlign w:val="center"/>
          </w:tcPr>
          <w:p>
            <w:pPr>
              <w:jc w:val="center"/>
              <w:rPr>
                <w:rFonts w:cs="Times New Roman"/>
                <w:szCs w:val="24"/>
              </w:rPr>
            </w:pPr>
            <w:r>
              <w:rPr>
                <w:rFonts w:hint="eastAsia" w:cs="Times New Roman"/>
                <w:szCs w:val="24"/>
              </w:rPr>
              <w:t>3</w:t>
            </w:r>
          </w:p>
        </w:tc>
        <w:tc>
          <w:tcPr>
            <w:tcW w:w="3014" w:type="dxa"/>
            <w:vAlign w:val="center"/>
          </w:tcPr>
          <w:p>
            <w:pPr>
              <w:jc w:val="center"/>
              <w:rPr>
                <w:rFonts w:cs="Times New Roman"/>
                <w:szCs w:val="24"/>
              </w:rPr>
            </w:pPr>
            <w:r>
              <w:rPr>
                <w:rFonts w:cs="Times New Roman"/>
                <w:szCs w:val="24"/>
              </w:rPr>
              <w:t>gridcell_long</w:t>
            </w:r>
          </w:p>
        </w:tc>
        <w:tc>
          <w:tcPr>
            <w:tcW w:w="955" w:type="dxa"/>
            <w:vAlign w:val="center"/>
          </w:tcPr>
          <w:p>
            <w:pPr>
              <w:jc w:val="center"/>
              <w:rPr>
                <w:rFonts w:cs="Times New Roman"/>
                <w:szCs w:val="24"/>
              </w:rPr>
            </w:pPr>
            <w:r>
              <w:rPr>
                <w:rFonts w:hint="eastAsia" w:cs="Times New Roman"/>
                <w:szCs w:val="24"/>
              </w:rPr>
              <w:t>1</w:t>
            </w:r>
            <w:r>
              <w:rPr>
                <w:rFonts w:cs="Times New Roman"/>
                <w:szCs w:val="24"/>
              </w:rPr>
              <w:t>9</w:t>
            </w:r>
          </w:p>
        </w:tc>
        <w:tc>
          <w:tcPr>
            <w:tcW w:w="3193" w:type="dxa"/>
            <w:vAlign w:val="center"/>
          </w:tcPr>
          <w:p>
            <w:pPr>
              <w:jc w:val="center"/>
              <w:rPr>
                <w:rFonts w:cs="Times New Roman"/>
                <w:szCs w:val="24"/>
              </w:rPr>
            </w:pPr>
            <w:r>
              <w:rPr>
                <w:rFonts w:cs="Times New Roman"/>
                <w:szCs w:val="24"/>
              </w:rPr>
              <w:t>f_NH4_mass_q_ga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34" w:type="dxa"/>
            <w:vAlign w:val="center"/>
          </w:tcPr>
          <w:p>
            <w:pPr>
              <w:jc w:val="center"/>
              <w:rPr>
                <w:rFonts w:cs="Times New Roman"/>
                <w:szCs w:val="24"/>
              </w:rPr>
            </w:pPr>
            <w:r>
              <w:rPr>
                <w:rFonts w:hint="eastAsia" w:cs="Times New Roman"/>
                <w:szCs w:val="24"/>
              </w:rPr>
              <w:t>4</w:t>
            </w:r>
          </w:p>
        </w:tc>
        <w:tc>
          <w:tcPr>
            <w:tcW w:w="3014" w:type="dxa"/>
            <w:vAlign w:val="center"/>
          </w:tcPr>
          <w:p>
            <w:pPr>
              <w:jc w:val="center"/>
              <w:rPr>
                <w:rFonts w:cs="Times New Roman"/>
                <w:szCs w:val="24"/>
              </w:rPr>
            </w:pPr>
            <w:r>
              <w:rPr>
                <w:rFonts w:cs="Times New Roman"/>
                <w:szCs w:val="24"/>
              </w:rPr>
              <w:t>quarter</w:t>
            </w:r>
          </w:p>
        </w:tc>
        <w:tc>
          <w:tcPr>
            <w:tcW w:w="955" w:type="dxa"/>
            <w:vAlign w:val="center"/>
          </w:tcPr>
          <w:p>
            <w:pPr>
              <w:jc w:val="center"/>
              <w:rPr>
                <w:rFonts w:cs="Times New Roman"/>
                <w:szCs w:val="24"/>
              </w:rPr>
            </w:pPr>
            <w:r>
              <w:rPr>
                <w:rFonts w:hint="eastAsia" w:cs="Times New Roman"/>
                <w:szCs w:val="24"/>
              </w:rPr>
              <w:t>2</w:t>
            </w:r>
            <w:r>
              <w:rPr>
                <w:rFonts w:cs="Times New Roman"/>
                <w:szCs w:val="24"/>
              </w:rPr>
              <w:t>0</w:t>
            </w:r>
          </w:p>
        </w:tc>
        <w:tc>
          <w:tcPr>
            <w:tcW w:w="3193" w:type="dxa"/>
            <w:vAlign w:val="center"/>
          </w:tcPr>
          <w:p>
            <w:pPr>
              <w:jc w:val="center"/>
              <w:rPr>
                <w:rFonts w:cs="Times New Roman"/>
                <w:szCs w:val="24"/>
              </w:rPr>
            </w:pPr>
            <w:r>
              <w:rPr>
                <w:rFonts w:cs="Times New Roman"/>
                <w:szCs w:val="24"/>
              </w:rPr>
              <w:t>f_Ocmb_mass_q_ga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34" w:type="dxa"/>
            <w:vAlign w:val="center"/>
          </w:tcPr>
          <w:p>
            <w:pPr>
              <w:jc w:val="center"/>
              <w:rPr>
                <w:rFonts w:cs="Times New Roman"/>
                <w:szCs w:val="24"/>
              </w:rPr>
            </w:pPr>
            <w:r>
              <w:rPr>
                <w:rFonts w:hint="eastAsia" w:cs="Times New Roman"/>
                <w:szCs w:val="24"/>
              </w:rPr>
              <w:t>5</w:t>
            </w:r>
          </w:p>
        </w:tc>
        <w:tc>
          <w:tcPr>
            <w:tcW w:w="3014" w:type="dxa"/>
            <w:vAlign w:val="center"/>
          </w:tcPr>
          <w:p>
            <w:pPr>
              <w:jc w:val="center"/>
              <w:rPr>
                <w:rFonts w:cs="Times New Roman"/>
                <w:szCs w:val="24"/>
              </w:rPr>
            </w:pPr>
            <w:r>
              <w:rPr>
                <w:rFonts w:cs="Times New Roman"/>
                <w:szCs w:val="24"/>
              </w:rPr>
              <w:t>b_pm25_ann_q_DV_ga</w:t>
            </w:r>
          </w:p>
        </w:tc>
        <w:tc>
          <w:tcPr>
            <w:tcW w:w="955" w:type="dxa"/>
            <w:vAlign w:val="center"/>
          </w:tcPr>
          <w:p>
            <w:pPr>
              <w:jc w:val="center"/>
              <w:rPr>
                <w:rFonts w:cs="Times New Roman"/>
                <w:szCs w:val="24"/>
              </w:rPr>
            </w:pPr>
            <w:r>
              <w:rPr>
                <w:rFonts w:hint="eastAsia" w:cs="Times New Roman"/>
                <w:szCs w:val="24"/>
              </w:rPr>
              <w:t>2</w:t>
            </w:r>
            <w:r>
              <w:rPr>
                <w:rFonts w:cs="Times New Roman"/>
                <w:szCs w:val="24"/>
              </w:rPr>
              <w:t>1</w:t>
            </w:r>
          </w:p>
        </w:tc>
        <w:tc>
          <w:tcPr>
            <w:tcW w:w="3193" w:type="dxa"/>
            <w:vAlign w:val="center"/>
          </w:tcPr>
          <w:p>
            <w:pPr>
              <w:jc w:val="center"/>
              <w:rPr>
                <w:rFonts w:cs="Times New Roman"/>
                <w:szCs w:val="24"/>
              </w:rPr>
            </w:pPr>
            <w:r>
              <w:rPr>
                <w:rFonts w:cs="Times New Roman"/>
                <w:szCs w:val="24"/>
              </w:rPr>
              <w:t>f_SO4_mass_q_ga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34" w:type="dxa"/>
            <w:vAlign w:val="center"/>
          </w:tcPr>
          <w:p>
            <w:pPr>
              <w:jc w:val="center"/>
              <w:rPr>
                <w:rFonts w:cs="Times New Roman"/>
                <w:szCs w:val="24"/>
              </w:rPr>
            </w:pPr>
            <w:r>
              <w:rPr>
                <w:rFonts w:hint="eastAsia" w:cs="Times New Roman"/>
                <w:szCs w:val="24"/>
              </w:rPr>
              <w:t>6</w:t>
            </w:r>
          </w:p>
        </w:tc>
        <w:tc>
          <w:tcPr>
            <w:tcW w:w="3014" w:type="dxa"/>
            <w:vAlign w:val="center"/>
          </w:tcPr>
          <w:p>
            <w:pPr>
              <w:jc w:val="center"/>
              <w:rPr>
                <w:rFonts w:cs="Times New Roman"/>
                <w:szCs w:val="24"/>
              </w:rPr>
            </w:pPr>
            <w:r>
              <w:rPr>
                <w:rFonts w:cs="Times New Roman"/>
                <w:szCs w:val="24"/>
              </w:rPr>
              <w:t>f_pm25_ann_q_DV_ga</w:t>
            </w:r>
          </w:p>
        </w:tc>
        <w:tc>
          <w:tcPr>
            <w:tcW w:w="955" w:type="dxa"/>
            <w:vAlign w:val="center"/>
          </w:tcPr>
          <w:p>
            <w:pPr>
              <w:jc w:val="center"/>
              <w:rPr>
                <w:rFonts w:cs="Times New Roman"/>
                <w:szCs w:val="24"/>
              </w:rPr>
            </w:pPr>
            <w:r>
              <w:rPr>
                <w:rFonts w:hint="eastAsia" w:cs="Times New Roman"/>
                <w:szCs w:val="24"/>
              </w:rPr>
              <w:t>2</w:t>
            </w:r>
            <w:r>
              <w:rPr>
                <w:rFonts w:cs="Times New Roman"/>
                <w:szCs w:val="24"/>
              </w:rPr>
              <w:t>2</w:t>
            </w:r>
          </w:p>
        </w:tc>
        <w:tc>
          <w:tcPr>
            <w:tcW w:w="3193" w:type="dxa"/>
            <w:vAlign w:val="center"/>
          </w:tcPr>
          <w:p>
            <w:pPr>
              <w:jc w:val="center"/>
              <w:rPr>
                <w:rFonts w:cs="Times New Roman"/>
                <w:szCs w:val="24"/>
              </w:rPr>
            </w:pPr>
            <w:r>
              <w:rPr>
                <w:rFonts w:cs="Times New Roman"/>
                <w:szCs w:val="24"/>
              </w:rPr>
              <w:t>f_NO3_mass_q_ga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34" w:type="dxa"/>
            <w:vAlign w:val="center"/>
          </w:tcPr>
          <w:p>
            <w:pPr>
              <w:jc w:val="center"/>
              <w:rPr>
                <w:rFonts w:cs="Times New Roman"/>
                <w:szCs w:val="24"/>
              </w:rPr>
            </w:pPr>
            <w:r>
              <w:rPr>
                <w:rFonts w:hint="eastAsia" w:cs="Times New Roman"/>
                <w:szCs w:val="24"/>
              </w:rPr>
              <w:t>7</w:t>
            </w:r>
          </w:p>
        </w:tc>
        <w:tc>
          <w:tcPr>
            <w:tcW w:w="3014" w:type="dxa"/>
            <w:vAlign w:val="center"/>
          </w:tcPr>
          <w:p>
            <w:pPr>
              <w:jc w:val="center"/>
              <w:rPr>
                <w:rFonts w:cs="Times New Roman"/>
                <w:szCs w:val="24"/>
              </w:rPr>
            </w:pPr>
            <w:r>
              <w:rPr>
                <w:rFonts w:cs="Times New Roman"/>
                <w:szCs w:val="24"/>
              </w:rPr>
              <w:t>b_blank_mass_q_ga</w:t>
            </w:r>
          </w:p>
        </w:tc>
        <w:tc>
          <w:tcPr>
            <w:tcW w:w="955" w:type="dxa"/>
            <w:vAlign w:val="center"/>
          </w:tcPr>
          <w:p>
            <w:pPr>
              <w:jc w:val="center"/>
              <w:rPr>
                <w:rFonts w:cs="Times New Roman"/>
                <w:szCs w:val="24"/>
              </w:rPr>
            </w:pPr>
            <w:r>
              <w:rPr>
                <w:rFonts w:hint="eastAsia" w:cs="Times New Roman"/>
                <w:szCs w:val="24"/>
              </w:rPr>
              <w:t>2</w:t>
            </w:r>
            <w:r>
              <w:rPr>
                <w:rFonts w:cs="Times New Roman"/>
                <w:szCs w:val="24"/>
              </w:rPr>
              <w:t>3</w:t>
            </w:r>
          </w:p>
        </w:tc>
        <w:tc>
          <w:tcPr>
            <w:tcW w:w="3193" w:type="dxa"/>
            <w:vAlign w:val="center"/>
          </w:tcPr>
          <w:p>
            <w:pPr>
              <w:jc w:val="center"/>
              <w:rPr>
                <w:rFonts w:cs="Times New Roman"/>
                <w:szCs w:val="24"/>
              </w:rPr>
            </w:pPr>
            <w:r>
              <w:rPr>
                <w:rFonts w:cs="Times New Roman"/>
                <w:szCs w:val="24"/>
              </w:rPr>
              <w:t>f_water_mass_q_ga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34" w:type="dxa"/>
            <w:vAlign w:val="center"/>
          </w:tcPr>
          <w:p>
            <w:pPr>
              <w:jc w:val="center"/>
              <w:rPr>
                <w:rFonts w:cs="Times New Roman"/>
                <w:szCs w:val="24"/>
              </w:rPr>
            </w:pPr>
            <w:r>
              <w:rPr>
                <w:rFonts w:hint="eastAsia" w:cs="Times New Roman"/>
                <w:szCs w:val="24"/>
              </w:rPr>
              <w:t>8</w:t>
            </w:r>
          </w:p>
        </w:tc>
        <w:tc>
          <w:tcPr>
            <w:tcW w:w="3014" w:type="dxa"/>
            <w:vAlign w:val="center"/>
          </w:tcPr>
          <w:p>
            <w:pPr>
              <w:jc w:val="center"/>
              <w:rPr>
                <w:rFonts w:cs="Times New Roman"/>
                <w:szCs w:val="24"/>
              </w:rPr>
            </w:pPr>
            <w:r>
              <w:rPr>
                <w:rFonts w:cs="Times New Roman"/>
                <w:szCs w:val="24"/>
              </w:rPr>
              <w:t>b_crustal_mass_q_ga</w:t>
            </w:r>
          </w:p>
        </w:tc>
        <w:tc>
          <w:tcPr>
            <w:tcW w:w="955" w:type="dxa"/>
            <w:vAlign w:val="center"/>
          </w:tcPr>
          <w:p>
            <w:pPr>
              <w:jc w:val="center"/>
              <w:rPr>
                <w:rFonts w:cs="Times New Roman"/>
                <w:szCs w:val="24"/>
              </w:rPr>
            </w:pPr>
            <w:r>
              <w:rPr>
                <w:rFonts w:hint="eastAsia" w:cs="Times New Roman"/>
                <w:szCs w:val="24"/>
              </w:rPr>
              <w:t>2</w:t>
            </w:r>
            <w:r>
              <w:rPr>
                <w:rFonts w:cs="Times New Roman"/>
                <w:szCs w:val="24"/>
              </w:rPr>
              <w:t>4</w:t>
            </w:r>
          </w:p>
        </w:tc>
        <w:tc>
          <w:tcPr>
            <w:tcW w:w="3193" w:type="dxa"/>
            <w:vAlign w:val="center"/>
          </w:tcPr>
          <w:p>
            <w:pPr>
              <w:jc w:val="center"/>
              <w:rPr>
                <w:rFonts w:cs="Times New Roman"/>
                <w:szCs w:val="24"/>
              </w:rPr>
            </w:pPr>
            <w:r>
              <w:rPr>
                <w:rFonts w:cs="Times New Roman"/>
                <w:szCs w:val="24"/>
              </w:rPr>
              <w:t>f_salt_mass_q_ga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34" w:type="dxa"/>
            <w:vAlign w:val="center"/>
          </w:tcPr>
          <w:p>
            <w:pPr>
              <w:jc w:val="center"/>
              <w:rPr>
                <w:rFonts w:cs="Times New Roman"/>
                <w:szCs w:val="24"/>
              </w:rPr>
            </w:pPr>
            <w:r>
              <w:rPr>
                <w:rFonts w:hint="eastAsia" w:cs="Times New Roman"/>
                <w:szCs w:val="24"/>
              </w:rPr>
              <w:t>9</w:t>
            </w:r>
          </w:p>
        </w:tc>
        <w:tc>
          <w:tcPr>
            <w:tcW w:w="3014" w:type="dxa"/>
            <w:vAlign w:val="center"/>
          </w:tcPr>
          <w:p>
            <w:pPr>
              <w:jc w:val="center"/>
              <w:rPr>
                <w:rFonts w:cs="Times New Roman"/>
                <w:szCs w:val="24"/>
              </w:rPr>
            </w:pPr>
            <w:r>
              <w:rPr>
                <w:rFonts w:cs="Times New Roman"/>
                <w:szCs w:val="24"/>
              </w:rPr>
              <w:t>b_EC_mass_q_ga</w:t>
            </w:r>
          </w:p>
        </w:tc>
        <w:tc>
          <w:tcPr>
            <w:tcW w:w="955" w:type="dxa"/>
            <w:vAlign w:val="center"/>
          </w:tcPr>
          <w:p>
            <w:pPr>
              <w:jc w:val="center"/>
              <w:rPr>
                <w:rFonts w:cs="Times New Roman"/>
                <w:szCs w:val="24"/>
              </w:rPr>
            </w:pPr>
            <w:r>
              <w:rPr>
                <w:rFonts w:hint="eastAsia" w:cs="Times New Roman"/>
                <w:szCs w:val="24"/>
              </w:rPr>
              <w:t>2</w:t>
            </w:r>
            <w:r>
              <w:rPr>
                <w:rFonts w:cs="Times New Roman"/>
                <w:szCs w:val="24"/>
              </w:rPr>
              <w:t>5</w:t>
            </w:r>
          </w:p>
        </w:tc>
        <w:tc>
          <w:tcPr>
            <w:tcW w:w="3193" w:type="dxa"/>
            <w:vAlign w:val="center"/>
          </w:tcPr>
          <w:p>
            <w:pPr>
              <w:jc w:val="center"/>
              <w:rPr>
                <w:rFonts w:cs="Times New Roman"/>
                <w:szCs w:val="24"/>
              </w:rPr>
            </w:pPr>
            <w:r>
              <w:rPr>
                <w:rFonts w:cs="Times New Roman"/>
                <w:szCs w:val="24"/>
              </w:rPr>
              <w:t>rrf_crustal_q_ga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34" w:type="dxa"/>
            <w:vAlign w:val="center"/>
          </w:tcPr>
          <w:p>
            <w:pPr>
              <w:jc w:val="center"/>
              <w:rPr>
                <w:rFonts w:cs="Times New Roman"/>
                <w:szCs w:val="24"/>
              </w:rPr>
            </w:pPr>
            <w:r>
              <w:rPr>
                <w:rFonts w:hint="eastAsia" w:cs="Times New Roman"/>
                <w:szCs w:val="24"/>
              </w:rPr>
              <w:t>1</w:t>
            </w:r>
            <w:r>
              <w:rPr>
                <w:rFonts w:cs="Times New Roman"/>
                <w:szCs w:val="24"/>
              </w:rPr>
              <w:t>0</w:t>
            </w:r>
          </w:p>
        </w:tc>
        <w:tc>
          <w:tcPr>
            <w:tcW w:w="3014" w:type="dxa"/>
            <w:vAlign w:val="center"/>
          </w:tcPr>
          <w:p>
            <w:pPr>
              <w:jc w:val="center"/>
              <w:rPr>
                <w:rFonts w:cs="Times New Roman"/>
                <w:szCs w:val="24"/>
              </w:rPr>
            </w:pPr>
            <w:r>
              <w:rPr>
                <w:rFonts w:cs="Times New Roman"/>
                <w:szCs w:val="24"/>
              </w:rPr>
              <w:t>b_NH4_mass_q_ga</w:t>
            </w:r>
          </w:p>
        </w:tc>
        <w:tc>
          <w:tcPr>
            <w:tcW w:w="955" w:type="dxa"/>
            <w:vAlign w:val="center"/>
          </w:tcPr>
          <w:p>
            <w:pPr>
              <w:jc w:val="center"/>
              <w:rPr>
                <w:rFonts w:cs="Times New Roman"/>
                <w:szCs w:val="24"/>
              </w:rPr>
            </w:pPr>
            <w:r>
              <w:rPr>
                <w:rFonts w:hint="eastAsia" w:cs="Times New Roman"/>
                <w:szCs w:val="24"/>
              </w:rPr>
              <w:t>2</w:t>
            </w:r>
            <w:r>
              <w:rPr>
                <w:rFonts w:cs="Times New Roman"/>
                <w:szCs w:val="24"/>
              </w:rPr>
              <w:t>6</w:t>
            </w:r>
          </w:p>
        </w:tc>
        <w:tc>
          <w:tcPr>
            <w:tcW w:w="3193" w:type="dxa"/>
            <w:vAlign w:val="center"/>
          </w:tcPr>
          <w:p>
            <w:pPr>
              <w:jc w:val="center"/>
              <w:rPr>
                <w:rFonts w:cs="Times New Roman"/>
                <w:szCs w:val="24"/>
              </w:rPr>
            </w:pPr>
            <w:r>
              <w:rPr>
                <w:rFonts w:cs="Times New Roman"/>
                <w:szCs w:val="24"/>
              </w:rPr>
              <w:t>rrf_ec_q_ga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34" w:type="dxa"/>
            <w:vAlign w:val="center"/>
          </w:tcPr>
          <w:p>
            <w:pPr>
              <w:jc w:val="center"/>
              <w:rPr>
                <w:rFonts w:cs="Times New Roman"/>
                <w:szCs w:val="24"/>
              </w:rPr>
            </w:pPr>
            <w:r>
              <w:rPr>
                <w:rFonts w:hint="eastAsia" w:cs="Times New Roman"/>
                <w:szCs w:val="24"/>
              </w:rPr>
              <w:t>1</w:t>
            </w:r>
            <w:r>
              <w:rPr>
                <w:rFonts w:cs="Times New Roman"/>
                <w:szCs w:val="24"/>
              </w:rPr>
              <w:t>1</w:t>
            </w:r>
          </w:p>
        </w:tc>
        <w:tc>
          <w:tcPr>
            <w:tcW w:w="3014" w:type="dxa"/>
            <w:vAlign w:val="center"/>
          </w:tcPr>
          <w:p>
            <w:pPr>
              <w:jc w:val="center"/>
              <w:rPr>
                <w:rFonts w:cs="Times New Roman"/>
                <w:szCs w:val="24"/>
              </w:rPr>
            </w:pPr>
            <w:r>
              <w:rPr>
                <w:rFonts w:cs="Times New Roman"/>
                <w:szCs w:val="24"/>
              </w:rPr>
              <w:t>b_Ocmb_mass_q_ga</w:t>
            </w:r>
          </w:p>
        </w:tc>
        <w:tc>
          <w:tcPr>
            <w:tcW w:w="955" w:type="dxa"/>
            <w:vAlign w:val="center"/>
          </w:tcPr>
          <w:p>
            <w:pPr>
              <w:jc w:val="center"/>
              <w:rPr>
                <w:rFonts w:cs="Times New Roman"/>
                <w:szCs w:val="24"/>
              </w:rPr>
            </w:pPr>
            <w:r>
              <w:rPr>
                <w:rFonts w:hint="eastAsia" w:cs="Times New Roman"/>
                <w:szCs w:val="24"/>
              </w:rPr>
              <w:t>2</w:t>
            </w:r>
            <w:r>
              <w:rPr>
                <w:rFonts w:cs="Times New Roman"/>
                <w:szCs w:val="24"/>
              </w:rPr>
              <w:t>7</w:t>
            </w:r>
          </w:p>
        </w:tc>
        <w:tc>
          <w:tcPr>
            <w:tcW w:w="3193" w:type="dxa"/>
            <w:vAlign w:val="center"/>
          </w:tcPr>
          <w:p>
            <w:pPr>
              <w:jc w:val="center"/>
              <w:rPr>
                <w:rFonts w:cs="Times New Roman"/>
                <w:szCs w:val="24"/>
              </w:rPr>
            </w:pPr>
            <w:r>
              <w:rPr>
                <w:rFonts w:cs="Times New Roman"/>
                <w:szCs w:val="24"/>
              </w:rPr>
              <w:t>rrf_nh4_q_ga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34" w:type="dxa"/>
            <w:vAlign w:val="center"/>
          </w:tcPr>
          <w:p>
            <w:pPr>
              <w:jc w:val="center"/>
              <w:rPr>
                <w:rFonts w:cs="Times New Roman"/>
                <w:szCs w:val="24"/>
              </w:rPr>
            </w:pPr>
            <w:r>
              <w:rPr>
                <w:rFonts w:hint="eastAsia" w:cs="Times New Roman"/>
                <w:szCs w:val="24"/>
              </w:rPr>
              <w:t>1</w:t>
            </w:r>
            <w:r>
              <w:rPr>
                <w:rFonts w:cs="Times New Roman"/>
                <w:szCs w:val="24"/>
              </w:rPr>
              <w:t>2</w:t>
            </w:r>
          </w:p>
        </w:tc>
        <w:tc>
          <w:tcPr>
            <w:tcW w:w="3014" w:type="dxa"/>
            <w:vAlign w:val="center"/>
          </w:tcPr>
          <w:p>
            <w:pPr>
              <w:jc w:val="center"/>
              <w:rPr>
                <w:rFonts w:cs="Times New Roman"/>
                <w:szCs w:val="24"/>
              </w:rPr>
            </w:pPr>
            <w:r>
              <w:rPr>
                <w:rFonts w:cs="Times New Roman"/>
                <w:szCs w:val="24"/>
              </w:rPr>
              <w:t>b_SO4_mass_q_ga</w:t>
            </w:r>
          </w:p>
        </w:tc>
        <w:tc>
          <w:tcPr>
            <w:tcW w:w="955" w:type="dxa"/>
            <w:vAlign w:val="center"/>
          </w:tcPr>
          <w:p>
            <w:pPr>
              <w:jc w:val="center"/>
              <w:rPr>
                <w:rFonts w:cs="Times New Roman"/>
                <w:szCs w:val="24"/>
              </w:rPr>
            </w:pPr>
            <w:r>
              <w:rPr>
                <w:rFonts w:hint="eastAsia" w:cs="Times New Roman"/>
                <w:szCs w:val="24"/>
              </w:rPr>
              <w:t>2</w:t>
            </w:r>
            <w:r>
              <w:rPr>
                <w:rFonts w:cs="Times New Roman"/>
                <w:szCs w:val="24"/>
              </w:rPr>
              <w:t>8</w:t>
            </w:r>
          </w:p>
        </w:tc>
        <w:tc>
          <w:tcPr>
            <w:tcW w:w="3193" w:type="dxa"/>
            <w:vAlign w:val="center"/>
          </w:tcPr>
          <w:p>
            <w:pPr>
              <w:jc w:val="center"/>
              <w:rPr>
                <w:rFonts w:cs="Times New Roman"/>
                <w:szCs w:val="24"/>
              </w:rPr>
            </w:pPr>
            <w:r>
              <w:rPr>
                <w:rFonts w:cs="Times New Roman"/>
                <w:szCs w:val="24"/>
              </w:rPr>
              <w:t>rrf_oc_q_ga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34" w:type="dxa"/>
            <w:vAlign w:val="center"/>
          </w:tcPr>
          <w:p>
            <w:pPr>
              <w:jc w:val="center"/>
              <w:rPr>
                <w:rFonts w:cs="Times New Roman"/>
                <w:szCs w:val="24"/>
              </w:rPr>
            </w:pPr>
            <w:r>
              <w:rPr>
                <w:rFonts w:hint="eastAsia" w:cs="Times New Roman"/>
                <w:szCs w:val="24"/>
              </w:rPr>
              <w:t>1</w:t>
            </w:r>
            <w:r>
              <w:rPr>
                <w:rFonts w:cs="Times New Roman"/>
                <w:szCs w:val="24"/>
              </w:rPr>
              <w:t>3</w:t>
            </w:r>
          </w:p>
        </w:tc>
        <w:tc>
          <w:tcPr>
            <w:tcW w:w="3014" w:type="dxa"/>
            <w:vAlign w:val="center"/>
          </w:tcPr>
          <w:p>
            <w:pPr>
              <w:jc w:val="center"/>
              <w:rPr>
                <w:rFonts w:cs="Times New Roman"/>
                <w:szCs w:val="24"/>
              </w:rPr>
            </w:pPr>
            <w:r>
              <w:rPr>
                <w:rFonts w:cs="Times New Roman"/>
                <w:szCs w:val="24"/>
              </w:rPr>
              <w:t>b_NO3_mass_q_ga</w:t>
            </w:r>
          </w:p>
        </w:tc>
        <w:tc>
          <w:tcPr>
            <w:tcW w:w="955" w:type="dxa"/>
            <w:vAlign w:val="center"/>
          </w:tcPr>
          <w:p>
            <w:pPr>
              <w:jc w:val="center"/>
              <w:rPr>
                <w:rFonts w:cs="Times New Roman"/>
                <w:szCs w:val="24"/>
              </w:rPr>
            </w:pPr>
            <w:r>
              <w:rPr>
                <w:rFonts w:hint="eastAsia" w:cs="Times New Roman"/>
                <w:szCs w:val="24"/>
              </w:rPr>
              <w:t>2</w:t>
            </w:r>
            <w:r>
              <w:rPr>
                <w:rFonts w:cs="Times New Roman"/>
                <w:szCs w:val="24"/>
              </w:rPr>
              <w:t>9</w:t>
            </w:r>
          </w:p>
        </w:tc>
        <w:tc>
          <w:tcPr>
            <w:tcW w:w="3193" w:type="dxa"/>
            <w:vAlign w:val="center"/>
          </w:tcPr>
          <w:p>
            <w:pPr>
              <w:jc w:val="center"/>
              <w:rPr>
                <w:rFonts w:cs="Times New Roman"/>
                <w:szCs w:val="24"/>
              </w:rPr>
            </w:pPr>
            <w:r>
              <w:rPr>
                <w:rFonts w:cs="Times New Roman"/>
                <w:szCs w:val="24"/>
              </w:rPr>
              <w:t>rrf_so4_q_ga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34" w:type="dxa"/>
            <w:vAlign w:val="center"/>
          </w:tcPr>
          <w:p>
            <w:pPr>
              <w:jc w:val="center"/>
              <w:rPr>
                <w:rFonts w:cs="Times New Roman"/>
                <w:szCs w:val="24"/>
              </w:rPr>
            </w:pPr>
            <w:r>
              <w:rPr>
                <w:rFonts w:hint="eastAsia" w:cs="Times New Roman"/>
                <w:szCs w:val="24"/>
              </w:rPr>
              <w:t>1</w:t>
            </w:r>
            <w:r>
              <w:rPr>
                <w:rFonts w:cs="Times New Roman"/>
                <w:szCs w:val="24"/>
              </w:rPr>
              <w:t>4</w:t>
            </w:r>
          </w:p>
        </w:tc>
        <w:tc>
          <w:tcPr>
            <w:tcW w:w="3014" w:type="dxa"/>
            <w:vAlign w:val="center"/>
          </w:tcPr>
          <w:p>
            <w:pPr>
              <w:jc w:val="center"/>
              <w:rPr>
                <w:rFonts w:cs="Times New Roman"/>
                <w:szCs w:val="24"/>
              </w:rPr>
            </w:pPr>
            <w:r>
              <w:rPr>
                <w:rFonts w:cs="Times New Roman"/>
                <w:szCs w:val="24"/>
              </w:rPr>
              <w:t>b_water_mass_q_ga</w:t>
            </w:r>
          </w:p>
        </w:tc>
        <w:tc>
          <w:tcPr>
            <w:tcW w:w="955" w:type="dxa"/>
            <w:vAlign w:val="center"/>
          </w:tcPr>
          <w:p>
            <w:pPr>
              <w:jc w:val="center"/>
              <w:rPr>
                <w:rFonts w:cs="Times New Roman"/>
                <w:szCs w:val="24"/>
              </w:rPr>
            </w:pPr>
            <w:r>
              <w:rPr>
                <w:rFonts w:hint="eastAsia" w:cs="Times New Roman"/>
                <w:szCs w:val="24"/>
              </w:rPr>
              <w:t>3</w:t>
            </w:r>
            <w:r>
              <w:rPr>
                <w:rFonts w:cs="Times New Roman"/>
                <w:szCs w:val="24"/>
              </w:rPr>
              <w:t>0</w:t>
            </w:r>
          </w:p>
        </w:tc>
        <w:tc>
          <w:tcPr>
            <w:tcW w:w="3193" w:type="dxa"/>
            <w:vAlign w:val="center"/>
          </w:tcPr>
          <w:p>
            <w:pPr>
              <w:jc w:val="center"/>
              <w:rPr>
                <w:rFonts w:cs="Times New Roman"/>
                <w:szCs w:val="24"/>
              </w:rPr>
            </w:pPr>
            <w:r>
              <w:rPr>
                <w:rFonts w:cs="Times New Roman"/>
                <w:szCs w:val="24"/>
              </w:rPr>
              <w:t>rrf_no3_q_ga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34" w:type="dxa"/>
            <w:vAlign w:val="center"/>
          </w:tcPr>
          <w:p>
            <w:pPr>
              <w:jc w:val="center"/>
              <w:rPr>
                <w:rFonts w:cs="Times New Roman"/>
                <w:szCs w:val="24"/>
              </w:rPr>
            </w:pPr>
            <w:r>
              <w:rPr>
                <w:rFonts w:hint="eastAsia" w:cs="Times New Roman"/>
                <w:szCs w:val="24"/>
              </w:rPr>
              <w:t>1</w:t>
            </w:r>
            <w:r>
              <w:rPr>
                <w:rFonts w:cs="Times New Roman"/>
                <w:szCs w:val="24"/>
              </w:rPr>
              <w:t>5</w:t>
            </w:r>
          </w:p>
        </w:tc>
        <w:tc>
          <w:tcPr>
            <w:tcW w:w="3014" w:type="dxa"/>
            <w:vAlign w:val="center"/>
          </w:tcPr>
          <w:p>
            <w:pPr>
              <w:jc w:val="center"/>
              <w:rPr>
                <w:rFonts w:cs="Times New Roman"/>
                <w:szCs w:val="24"/>
              </w:rPr>
            </w:pPr>
            <w:r>
              <w:rPr>
                <w:rFonts w:cs="Times New Roman"/>
                <w:szCs w:val="24"/>
              </w:rPr>
              <w:t>b_salt_mass_q_ga</w:t>
            </w:r>
          </w:p>
        </w:tc>
        <w:tc>
          <w:tcPr>
            <w:tcW w:w="955" w:type="dxa"/>
            <w:vAlign w:val="center"/>
          </w:tcPr>
          <w:p>
            <w:pPr>
              <w:jc w:val="center"/>
              <w:rPr>
                <w:rFonts w:cs="Times New Roman"/>
                <w:szCs w:val="24"/>
              </w:rPr>
            </w:pPr>
            <w:r>
              <w:rPr>
                <w:rFonts w:hint="eastAsia" w:cs="Times New Roman"/>
                <w:szCs w:val="24"/>
              </w:rPr>
              <w:t>3</w:t>
            </w:r>
            <w:r>
              <w:rPr>
                <w:rFonts w:cs="Times New Roman"/>
                <w:szCs w:val="24"/>
              </w:rPr>
              <w:t>1</w:t>
            </w:r>
          </w:p>
        </w:tc>
        <w:tc>
          <w:tcPr>
            <w:tcW w:w="3193" w:type="dxa"/>
            <w:vAlign w:val="center"/>
          </w:tcPr>
          <w:p>
            <w:pPr>
              <w:jc w:val="center"/>
              <w:rPr>
                <w:rFonts w:cs="Times New Roman"/>
                <w:szCs w:val="24"/>
              </w:rPr>
            </w:pPr>
            <w:r>
              <w:rPr>
                <w:rFonts w:cs="Times New Roman"/>
                <w:szCs w:val="24"/>
              </w:rPr>
              <w:t>rrf_salt_q_ga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34" w:type="dxa"/>
            <w:vAlign w:val="center"/>
          </w:tcPr>
          <w:p>
            <w:pPr>
              <w:jc w:val="center"/>
              <w:rPr>
                <w:rFonts w:cs="Times New Roman"/>
                <w:szCs w:val="24"/>
              </w:rPr>
            </w:pPr>
            <w:r>
              <w:rPr>
                <w:rFonts w:hint="eastAsia" w:cs="Times New Roman"/>
                <w:szCs w:val="24"/>
              </w:rPr>
              <w:t>1</w:t>
            </w:r>
            <w:r>
              <w:rPr>
                <w:rFonts w:cs="Times New Roman"/>
                <w:szCs w:val="24"/>
              </w:rPr>
              <w:t>6</w:t>
            </w:r>
          </w:p>
        </w:tc>
        <w:tc>
          <w:tcPr>
            <w:tcW w:w="3014" w:type="dxa"/>
            <w:vAlign w:val="center"/>
          </w:tcPr>
          <w:p>
            <w:pPr>
              <w:jc w:val="center"/>
              <w:rPr>
                <w:rFonts w:cs="Times New Roman"/>
                <w:szCs w:val="24"/>
              </w:rPr>
            </w:pPr>
            <w:r>
              <w:rPr>
                <w:rFonts w:cs="Times New Roman"/>
                <w:szCs w:val="24"/>
              </w:rPr>
              <w:t>f_blank_mass_q_ga</w:t>
            </w:r>
          </w:p>
        </w:tc>
        <w:tc>
          <w:tcPr>
            <w:tcW w:w="955" w:type="dxa"/>
            <w:vAlign w:val="center"/>
          </w:tcPr>
          <w:p>
            <w:pPr>
              <w:jc w:val="center"/>
              <w:rPr>
                <w:rFonts w:cs="Times New Roman"/>
                <w:szCs w:val="24"/>
              </w:rPr>
            </w:pPr>
            <w:r>
              <w:rPr>
                <w:rFonts w:hint="eastAsia" w:cs="Times New Roman"/>
                <w:szCs w:val="24"/>
              </w:rPr>
              <w:t>3</w:t>
            </w:r>
            <w:r>
              <w:rPr>
                <w:rFonts w:cs="Times New Roman"/>
                <w:szCs w:val="24"/>
              </w:rPr>
              <w:t>2</w:t>
            </w:r>
          </w:p>
        </w:tc>
        <w:tc>
          <w:tcPr>
            <w:tcW w:w="3193" w:type="dxa"/>
            <w:vAlign w:val="center"/>
          </w:tcPr>
          <w:p>
            <w:pPr>
              <w:jc w:val="center"/>
              <w:rPr>
                <w:rFonts w:cs="Times New Roman"/>
                <w:szCs w:val="24"/>
              </w:rPr>
            </w:pPr>
            <w:r>
              <w:rPr>
                <w:rFonts w:cs="Times New Roman"/>
                <w:szCs w:val="24"/>
              </w:rPr>
              <w:t>rrf_water_q_ga</w:t>
            </w:r>
          </w:p>
        </w:tc>
      </w:tr>
    </w:tbl>
    <w:p>
      <w:pPr>
        <w:spacing w:line="360" w:lineRule="auto"/>
        <w:rPr>
          <w:b/>
        </w:rPr>
      </w:pPr>
    </w:p>
    <w:p>
      <w:pPr>
        <w:spacing w:line="360" w:lineRule="auto"/>
      </w:pPr>
      <w:r>
        <w:rPr>
          <w:b/>
        </w:rPr>
        <w:t>Baseline Species Spatial Field File:</w:t>
      </w:r>
      <w:r>
        <w:t xml:space="preserve"> This option is only for PM analysis, which allows the user to set up PM species spatial field data. This data file is also created by SMAT-CE. It contains 24 headers (</w:t>
      </w:r>
      <w:r>
        <w:fldChar w:fldCharType="begin"/>
      </w:r>
      <w:r>
        <w:instrText xml:space="preserve"> REF _Ref44341390 \h  \* MERGEFORMAT </w:instrText>
      </w:r>
      <w:r>
        <w:fldChar w:fldCharType="separate"/>
      </w:r>
      <w:r>
        <w:t>Table 3</w:t>
      </w:r>
      <w:r>
        <w:fldChar w:fldCharType="end"/>
      </w:r>
      <w:r>
        <w:t xml:space="preserve">) </w:t>
      </w:r>
      <w:r>
        <w:rPr>
          <w:rFonts w:hint="eastAsia"/>
        </w:rPr>
        <w:t>and</w:t>
      </w:r>
      <w:r>
        <w:t xml:space="preserve"> the meaning of each header can refer to the User’s Manual for SMAT-CE.</w:t>
      </w:r>
    </w:p>
    <w:p>
      <w:pPr>
        <w:pStyle w:val="11"/>
        <w:spacing w:line="360" w:lineRule="auto"/>
        <w:ind w:firstLine="240"/>
        <w:rPr>
          <w:rFonts w:cs="Times New Roman"/>
          <w:szCs w:val="24"/>
        </w:rPr>
      </w:pPr>
      <w:bookmarkStart w:id="56" w:name="_Ref44341390"/>
      <w:bookmarkStart w:id="57" w:name="_Toc122982094"/>
      <w:r>
        <w:t xml:space="preserve">Table </w:t>
      </w:r>
      <w:r>
        <w:fldChar w:fldCharType="begin"/>
      </w:r>
      <w:r>
        <w:instrText xml:space="preserve"> SEQ Table \* ARABIC </w:instrText>
      </w:r>
      <w:r>
        <w:fldChar w:fldCharType="separate"/>
      </w:r>
      <w:r>
        <w:t>3</w:t>
      </w:r>
      <w:r>
        <w:fldChar w:fldCharType="end"/>
      </w:r>
      <w:bookmarkEnd w:id="56"/>
      <w:r>
        <w:t>. The headers of Baseline Species Spatial Field File</w:t>
      </w:r>
      <w:bookmarkEnd w:id="57"/>
    </w:p>
    <w:tbl>
      <w:tblPr>
        <w:tblStyle w:val="26"/>
        <w:tblW w:w="0" w:type="auto"/>
        <w:tblInd w:w="0" w:type="dxa"/>
        <w:tblBorders>
          <w:top w:val="single" w:color="auto" w:sz="4" w:space="0"/>
          <w:left w:val="none" w:color="auto" w:sz="0" w:space="0"/>
          <w:bottom w:val="single" w:color="auto" w:sz="4" w:space="0"/>
          <w:right w:val="none" w:color="auto" w:sz="0" w:space="0"/>
          <w:insideH w:val="none" w:color="auto" w:sz="0" w:space="0"/>
          <w:insideV w:val="single" w:color="000000" w:themeColor="text1" w:sz="4" w:space="0"/>
        </w:tblBorders>
        <w:tblLayout w:type="autofit"/>
        <w:tblCellMar>
          <w:top w:w="0" w:type="dxa"/>
          <w:left w:w="108" w:type="dxa"/>
          <w:bottom w:w="0" w:type="dxa"/>
          <w:right w:w="108" w:type="dxa"/>
        </w:tblCellMar>
      </w:tblPr>
      <w:tblGrid>
        <w:gridCol w:w="1701"/>
        <w:gridCol w:w="2533"/>
        <w:gridCol w:w="1720"/>
        <w:gridCol w:w="2352"/>
      </w:tblGrid>
      <w:tr>
        <w:tblPrEx>
          <w:tblBorders>
            <w:top w:val="single" w:color="auto" w:sz="4" w:space="0"/>
            <w:left w:val="none" w:color="auto" w:sz="0" w:space="0"/>
            <w:bottom w:val="single" w:color="auto" w:sz="4" w:space="0"/>
            <w:right w:val="none" w:color="auto" w:sz="0" w:space="0"/>
            <w:insideH w:val="none" w:color="auto" w:sz="0" w:space="0"/>
            <w:insideV w:val="single" w:color="000000" w:themeColor="text1" w:sz="4" w:space="0"/>
          </w:tblBorders>
          <w:tblCellMar>
            <w:top w:w="0" w:type="dxa"/>
            <w:left w:w="108" w:type="dxa"/>
            <w:bottom w:w="0" w:type="dxa"/>
            <w:right w:w="108" w:type="dxa"/>
          </w:tblCellMar>
        </w:tblPrEx>
        <w:tc>
          <w:tcPr>
            <w:tcW w:w="1701" w:type="dxa"/>
            <w:tcBorders>
              <w:bottom w:val="single" w:color="auto" w:sz="4" w:space="0"/>
            </w:tcBorders>
            <w:shd w:val="clear" w:color="auto" w:fill="B4C6E7" w:themeFill="accent1" w:themeFillTint="66"/>
            <w:vAlign w:val="center"/>
          </w:tcPr>
          <w:p>
            <w:pPr>
              <w:jc w:val="center"/>
              <w:rPr>
                <w:rFonts w:cs="Times New Roman"/>
                <w:szCs w:val="24"/>
              </w:rPr>
            </w:pPr>
            <w:r>
              <w:rPr>
                <w:rFonts w:hint="eastAsia" w:cs="Times New Roman"/>
                <w:szCs w:val="24"/>
              </w:rPr>
              <w:t>N</w:t>
            </w:r>
            <w:r>
              <w:rPr>
                <w:rFonts w:cs="Times New Roman"/>
                <w:szCs w:val="24"/>
              </w:rPr>
              <w:t>o.</w:t>
            </w:r>
          </w:p>
        </w:tc>
        <w:tc>
          <w:tcPr>
            <w:tcW w:w="2533" w:type="dxa"/>
            <w:tcBorders>
              <w:bottom w:val="single" w:color="auto" w:sz="4" w:space="0"/>
            </w:tcBorders>
            <w:shd w:val="clear" w:color="auto" w:fill="B4C6E7" w:themeFill="accent1" w:themeFillTint="66"/>
            <w:vAlign w:val="center"/>
          </w:tcPr>
          <w:p>
            <w:pPr>
              <w:jc w:val="center"/>
              <w:rPr>
                <w:rFonts w:cs="Times New Roman"/>
                <w:szCs w:val="24"/>
              </w:rPr>
            </w:pPr>
            <w:r>
              <w:rPr>
                <w:rFonts w:cs="Times New Roman"/>
                <w:szCs w:val="24"/>
              </w:rPr>
              <w:t>Header name</w:t>
            </w:r>
          </w:p>
        </w:tc>
        <w:tc>
          <w:tcPr>
            <w:tcW w:w="1720" w:type="dxa"/>
            <w:tcBorders>
              <w:bottom w:val="single" w:color="auto" w:sz="4" w:space="0"/>
            </w:tcBorders>
            <w:shd w:val="clear" w:color="auto" w:fill="B4C6E7" w:themeFill="accent1" w:themeFillTint="66"/>
            <w:vAlign w:val="center"/>
          </w:tcPr>
          <w:p>
            <w:pPr>
              <w:jc w:val="center"/>
              <w:rPr>
                <w:rFonts w:cs="Times New Roman"/>
                <w:szCs w:val="24"/>
              </w:rPr>
            </w:pPr>
            <w:r>
              <w:rPr>
                <w:rFonts w:hint="eastAsia" w:cs="Times New Roman"/>
                <w:szCs w:val="24"/>
              </w:rPr>
              <w:t>N</w:t>
            </w:r>
            <w:r>
              <w:rPr>
                <w:rFonts w:cs="Times New Roman"/>
                <w:szCs w:val="24"/>
              </w:rPr>
              <w:t>o.</w:t>
            </w:r>
          </w:p>
        </w:tc>
        <w:tc>
          <w:tcPr>
            <w:tcW w:w="2352" w:type="dxa"/>
            <w:tcBorders>
              <w:bottom w:val="single" w:color="auto" w:sz="4" w:space="0"/>
            </w:tcBorders>
            <w:shd w:val="clear" w:color="auto" w:fill="B4C6E7" w:themeFill="accent1" w:themeFillTint="66"/>
            <w:vAlign w:val="center"/>
          </w:tcPr>
          <w:p>
            <w:pPr>
              <w:jc w:val="center"/>
              <w:rPr>
                <w:rFonts w:cs="Times New Roman"/>
                <w:szCs w:val="24"/>
              </w:rPr>
            </w:pPr>
            <w:r>
              <w:rPr>
                <w:rFonts w:cs="Times New Roman"/>
                <w:szCs w:val="24"/>
              </w:rPr>
              <w:t>Header name</w:t>
            </w:r>
          </w:p>
        </w:tc>
      </w:tr>
      <w:tr>
        <w:tblPrEx>
          <w:tblBorders>
            <w:top w:val="single" w:color="auto" w:sz="4" w:space="0"/>
            <w:left w:val="none" w:color="auto" w:sz="0" w:space="0"/>
            <w:bottom w:val="single" w:color="auto" w:sz="4" w:space="0"/>
            <w:right w:val="none" w:color="auto" w:sz="0" w:space="0"/>
            <w:insideH w:val="none" w:color="auto" w:sz="0" w:space="0"/>
            <w:insideV w:val="single" w:color="000000" w:themeColor="text1" w:sz="4" w:space="0"/>
          </w:tblBorders>
          <w:tblCellMar>
            <w:top w:w="0" w:type="dxa"/>
            <w:left w:w="108" w:type="dxa"/>
            <w:bottom w:w="0" w:type="dxa"/>
            <w:right w:w="108" w:type="dxa"/>
          </w:tblCellMar>
        </w:tblPrEx>
        <w:tc>
          <w:tcPr>
            <w:tcW w:w="1701" w:type="dxa"/>
            <w:tcBorders>
              <w:top w:val="single" w:color="auto" w:sz="4" w:space="0"/>
              <w:bottom w:val="nil"/>
            </w:tcBorders>
            <w:vAlign w:val="center"/>
          </w:tcPr>
          <w:p>
            <w:pPr>
              <w:jc w:val="center"/>
              <w:rPr>
                <w:rFonts w:cs="Times New Roman"/>
                <w:szCs w:val="24"/>
              </w:rPr>
            </w:pPr>
            <w:r>
              <w:rPr>
                <w:rFonts w:hint="eastAsia" w:cs="Times New Roman"/>
                <w:szCs w:val="24"/>
              </w:rPr>
              <w:t>1</w:t>
            </w:r>
          </w:p>
        </w:tc>
        <w:tc>
          <w:tcPr>
            <w:tcW w:w="2533" w:type="dxa"/>
            <w:tcBorders>
              <w:top w:val="single" w:color="auto" w:sz="4" w:space="0"/>
              <w:bottom w:val="nil"/>
            </w:tcBorders>
            <w:vAlign w:val="center"/>
          </w:tcPr>
          <w:p>
            <w:pPr>
              <w:jc w:val="center"/>
              <w:rPr>
                <w:rFonts w:cs="Times New Roman"/>
                <w:szCs w:val="24"/>
              </w:rPr>
            </w:pPr>
            <w:r>
              <w:rPr>
                <w:rFonts w:cs="Times New Roman"/>
                <w:szCs w:val="24"/>
              </w:rPr>
              <w:t>_id</w:t>
            </w:r>
          </w:p>
        </w:tc>
        <w:tc>
          <w:tcPr>
            <w:tcW w:w="1720" w:type="dxa"/>
            <w:tcBorders>
              <w:top w:val="single" w:color="auto" w:sz="4" w:space="0"/>
              <w:bottom w:val="nil"/>
            </w:tcBorders>
            <w:vAlign w:val="center"/>
          </w:tcPr>
          <w:p>
            <w:pPr>
              <w:jc w:val="center"/>
              <w:rPr>
                <w:rFonts w:cs="Times New Roman"/>
                <w:szCs w:val="24"/>
              </w:rPr>
            </w:pPr>
            <w:r>
              <w:rPr>
                <w:rFonts w:hint="eastAsia" w:cs="Times New Roman"/>
                <w:szCs w:val="24"/>
              </w:rPr>
              <w:t>13</w:t>
            </w:r>
          </w:p>
        </w:tc>
        <w:tc>
          <w:tcPr>
            <w:tcW w:w="2352" w:type="dxa"/>
            <w:tcBorders>
              <w:top w:val="single" w:color="auto" w:sz="4" w:space="0"/>
              <w:bottom w:val="nil"/>
            </w:tcBorders>
            <w:vAlign w:val="center"/>
          </w:tcPr>
          <w:p>
            <w:pPr>
              <w:jc w:val="center"/>
              <w:rPr>
                <w:rFonts w:cs="Times New Roman"/>
                <w:szCs w:val="24"/>
              </w:rPr>
            </w:pPr>
            <w:r>
              <w:rPr>
                <w:rFonts w:cs="Times New Roman"/>
                <w:szCs w:val="24"/>
              </w:rPr>
              <w:t>fsalt_ga</w:t>
            </w:r>
          </w:p>
        </w:tc>
      </w:tr>
      <w:tr>
        <w:tblPrEx>
          <w:tblBorders>
            <w:top w:val="single" w:color="auto" w:sz="4" w:space="0"/>
            <w:left w:val="none" w:color="auto" w:sz="0" w:space="0"/>
            <w:bottom w:val="single" w:color="auto" w:sz="4" w:space="0"/>
            <w:right w:val="none" w:color="auto" w:sz="0" w:space="0"/>
            <w:insideH w:val="none" w:color="auto" w:sz="0" w:space="0"/>
            <w:insideV w:val="single" w:color="000000" w:themeColor="text1" w:sz="4" w:space="0"/>
          </w:tblBorders>
          <w:tblCellMar>
            <w:top w:w="0" w:type="dxa"/>
            <w:left w:w="108" w:type="dxa"/>
            <w:bottom w:w="0" w:type="dxa"/>
            <w:right w:w="108" w:type="dxa"/>
          </w:tblCellMar>
        </w:tblPrEx>
        <w:tc>
          <w:tcPr>
            <w:tcW w:w="1701" w:type="dxa"/>
            <w:tcBorders>
              <w:top w:val="nil"/>
              <w:bottom w:val="nil"/>
            </w:tcBorders>
            <w:vAlign w:val="center"/>
          </w:tcPr>
          <w:p>
            <w:pPr>
              <w:jc w:val="center"/>
              <w:rPr>
                <w:rFonts w:cs="Times New Roman"/>
                <w:szCs w:val="24"/>
              </w:rPr>
            </w:pPr>
            <w:r>
              <w:rPr>
                <w:rFonts w:hint="eastAsia" w:cs="Times New Roman"/>
                <w:szCs w:val="24"/>
              </w:rPr>
              <w:t>2</w:t>
            </w:r>
          </w:p>
        </w:tc>
        <w:tc>
          <w:tcPr>
            <w:tcW w:w="2533" w:type="dxa"/>
            <w:tcBorders>
              <w:top w:val="nil"/>
              <w:bottom w:val="nil"/>
            </w:tcBorders>
            <w:vAlign w:val="center"/>
          </w:tcPr>
          <w:p>
            <w:pPr>
              <w:jc w:val="center"/>
              <w:rPr>
                <w:rFonts w:cs="Times New Roman"/>
                <w:szCs w:val="24"/>
              </w:rPr>
            </w:pPr>
            <w:r>
              <w:rPr>
                <w:rFonts w:cs="Times New Roman"/>
                <w:szCs w:val="24"/>
              </w:rPr>
              <w:t>gridcell_lat</w:t>
            </w:r>
          </w:p>
        </w:tc>
        <w:tc>
          <w:tcPr>
            <w:tcW w:w="1720" w:type="dxa"/>
            <w:tcBorders>
              <w:top w:val="nil"/>
              <w:bottom w:val="nil"/>
            </w:tcBorders>
            <w:vAlign w:val="center"/>
          </w:tcPr>
          <w:p>
            <w:pPr>
              <w:jc w:val="center"/>
              <w:rPr>
                <w:rFonts w:cs="Times New Roman"/>
                <w:szCs w:val="24"/>
              </w:rPr>
            </w:pPr>
            <w:r>
              <w:rPr>
                <w:rFonts w:hint="eastAsia" w:cs="Times New Roman"/>
                <w:szCs w:val="24"/>
              </w:rPr>
              <w:t>14</w:t>
            </w:r>
          </w:p>
        </w:tc>
        <w:tc>
          <w:tcPr>
            <w:tcW w:w="2352" w:type="dxa"/>
            <w:tcBorders>
              <w:top w:val="nil"/>
              <w:bottom w:val="nil"/>
            </w:tcBorders>
            <w:vAlign w:val="center"/>
          </w:tcPr>
          <w:p>
            <w:pPr>
              <w:jc w:val="center"/>
              <w:rPr>
                <w:rFonts w:cs="Times New Roman"/>
                <w:szCs w:val="24"/>
              </w:rPr>
            </w:pPr>
            <w:r>
              <w:rPr>
                <w:rFonts w:cs="Times New Roman"/>
                <w:szCs w:val="24"/>
              </w:rPr>
              <w:t>blank_mass_ga</w:t>
            </w:r>
          </w:p>
        </w:tc>
      </w:tr>
      <w:tr>
        <w:tblPrEx>
          <w:tblBorders>
            <w:top w:val="single" w:color="auto" w:sz="4" w:space="0"/>
            <w:left w:val="none" w:color="auto" w:sz="0" w:space="0"/>
            <w:bottom w:val="single" w:color="auto" w:sz="4" w:space="0"/>
            <w:right w:val="none" w:color="auto" w:sz="0" w:space="0"/>
            <w:insideH w:val="none" w:color="auto" w:sz="0" w:space="0"/>
            <w:insideV w:val="single" w:color="000000" w:themeColor="text1" w:sz="4" w:space="0"/>
          </w:tblBorders>
          <w:tblCellMar>
            <w:top w:w="0" w:type="dxa"/>
            <w:left w:w="108" w:type="dxa"/>
            <w:bottom w:w="0" w:type="dxa"/>
            <w:right w:w="108" w:type="dxa"/>
          </w:tblCellMar>
        </w:tblPrEx>
        <w:tc>
          <w:tcPr>
            <w:tcW w:w="1701" w:type="dxa"/>
            <w:tcBorders>
              <w:top w:val="nil"/>
              <w:bottom w:val="nil"/>
            </w:tcBorders>
            <w:vAlign w:val="center"/>
          </w:tcPr>
          <w:p>
            <w:pPr>
              <w:jc w:val="center"/>
              <w:rPr>
                <w:rFonts w:cs="Times New Roman"/>
                <w:szCs w:val="24"/>
              </w:rPr>
            </w:pPr>
            <w:r>
              <w:rPr>
                <w:rFonts w:hint="eastAsia" w:cs="Times New Roman"/>
                <w:szCs w:val="24"/>
              </w:rPr>
              <w:t>3</w:t>
            </w:r>
          </w:p>
        </w:tc>
        <w:tc>
          <w:tcPr>
            <w:tcW w:w="2533" w:type="dxa"/>
            <w:tcBorders>
              <w:top w:val="nil"/>
              <w:bottom w:val="nil"/>
            </w:tcBorders>
            <w:vAlign w:val="center"/>
          </w:tcPr>
          <w:p>
            <w:pPr>
              <w:jc w:val="center"/>
              <w:rPr>
                <w:rFonts w:cs="Times New Roman"/>
                <w:szCs w:val="24"/>
              </w:rPr>
            </w:pPr>
            <w:r>
              <w:rPr>
                <w:rFonts w:cs="Times New Roman"/>
                <w:szCs w:val="24"/>
              </w:rPr>
              <w:t>gridcell_long</w:t>
            </w:r>
          </w:p>
        </w:tc>
        <w:tc>
          <w:tcPr>
            <w:tcW w:w="1720" w:type="dxa"/>
            <w:tcBorders>
              <w:top w:val="nil"/>
              <w:bottom w:val="nil"/>
            </w:tcBorders>
            <w:vAlign w:val="center"/>
          </w:tcPr>
          <w:p>
            <w:pPr>
              <w:jc w:val="center"/>
              <w:rPr>
                <w:rFonts w:cs="Times New Roman"/>
                <w:szCs w:val="24"/>
              </w:rPr>
            </w:pPr>
            <w:r>
              <w:rPr>
                <w:rFonts w:hint="eastAsia" w:cs="Times New Roman"/>
                <w:szCs w:val="24"/>
              </w:rPr>
              <w:t>15</w:t>
            </w:r>
          </w:p>
        </w:tc>
        <w:tc>
          <w:tcPr>
            <w:tcW w:w="2352" w:type="dxa"/>
            <w:tcBorders>
              <w:top w:val="nil"/>
              <w:bottom w:val="nil"/>
            </w:tcBorders>
            <w:vAlign w:val="center"/>
          </w:tcPr>
          <w:p>
            <w:pPr>
              <w:jc w:val="center"/>
              <w:rPr>
                <w:rFonts w:cs="Times New Roman"/>
                <w:szCs w:val="24"/>
              </w:rPr>
            </w:pPr>
            <w:r>
              <w:rPr>
                <w:rFonts w:cs="Times New Roman"/>
                <w:szCs w:val="24"/>
              </w:rPr>
              <w:t>don_ga</w:t>
            </w:r>
          </w:p>
        </w:tc>
      </w:tr>
      <w:tr>
        <w:tblPrEx>
          <w:tblBorders>
            <w:top w:val="single" w:color="auto" w:sz="4" w:space="0"/>
            <w:left w:val="none" w:color="auto" w:sz="0" w:space="0"/>
            <w:bottom w:val="single" w:color="auto" w:sz="4" w:space="0"/>
            <w:right w:val="none" w:color="auto" w:sz="0" w:space="0"/>
            <w:insideH w:val="none" w:color="auto" w:sz="0" w:space="0"/>
            <w:insideV w:val="single" w:color="000000" w:themeColor="text1" w:sz="4" w:space="0"/>
          </w:tblBorders>
          <w:tblCellMar>
            <w:top w:w="0" w:type="dxa"/>
            <w:left w:w="108" w:type="dxa"/>
            <w:bottom w:w="0" w:type="dxa"/>
            <w:right w:w="108" w:type="dxa"/>
          </w:tblCellMar>
        </w:tblPrEx>
        <w:tc>
          <w:tcPr>
            <w:tcW w:w="1701" w:type="dxa"/>
            <w:tcBorders>
              <w:top w:val="nil"/>
              <w:bottom w:val="nil"/>
            </w:tcBorders>
            <w:vAlign w:val="center"/>
          </w:tcPr>
          <w:p>
            <w:pPr>
              <w:jc w:val="center"/>
              <w:rPr>
                <w:rFonts w:cs="Times New Roman"/>
                <w:szCs w:val="24"/>
              </w:rPr>
            </w:pPr>
            <w:r>
              <w:rPr>
                <w:rFonts w:hint="eastAsia" w:cs="Times New Roman"/>
                <w:szCs w:val="24"/>
              </w:rPr>
              <w:t>4</w:t>
            </w:r>
          </w:p>
        </w:tc>
        <w:tc>
          <w:tcPr>
            <w:tcW w:w="2533" w:type="dxa"/>
            <w:tcBorders>
              <w:top w:val="nil"/>
              <w:bottom w:val="nil"/>
            </w:tcBorders>
            <w:vAlign w:val="center"/>
          </w:tcPr>
          <w:p>
            <w:pPr>
              <w:jc w:val="center"/>
              <w:rPr>
                <w:rFonts w:cs="Times New Roman"/>
                <w:szCs w:val="24"/>
              </w:rPr>
            </w:pPr>
            <w:r>
              <w:rPr>
                <w:rFonts w:cs="Times New Roman"/>
                <w:szCs w:val="24"/>
              </w:rPr>
              <w:t>quarter</w:t>
            </w:r>
          </w:p>
        </w:tc>
        <w:tc>
          <w:tcPr>
            <w:tcW w:w="1720" w:type="dxa"/>
            <w:tcBorders>
              <w:top w:val="nil"/>
              <w:bottom w:val="nil"/>
            </w:tcBorders>
            <w:vAlign w:val="center"/>
          </w:tcPr>
          <w:p>
            <w:pPr>
              <w:jc w:val="center"/>
              <w:rPr>
                <w:rFonts w:cs="Times New Roman"/>
                <w:szCs w:val="24"/>
              </w:rPr>
            </w:pPr>
            <w:r>
              <w:rPr>
                <w:rFonts w:hint="eastAsia" w:cs="Times New Roman"/>
                <w:szCs w:val="24"/>
              </w:rPr>
              <w:t>16</w:t>
            </w:r>
          </w:p>
        </w:tc>
        <w:tc>
          <w:tcPr>
            <w:tcW w:w="2352" w:type="dxa"/>
            <w:tcBorders>
              <w:top w:val="nil"/>
              <w:bottom w:val="nil"/>
            </w:tcBorders>
            <w:vAlign w:val="center"/>
          </w:tcPr>
          <w:p>
            <w:pPr>
              <w:jc w:val="center"/>
              <w:rPr>
                <w:rFonts w:cs="Times New Roman"/>
                <w:szCs w:val="24"/>
              </w:rPr>
            </w:pPr>
            <w:r>
              <w:rPr>
                <w:rFonts w:cs="Times New Roman"/>
                <w:szCs w:val="24"/>
              </w:rPr>
              <w:t>i_so4_ga</w:t>
            </w:r>
          </w:p>
        </w:tc>
      </w:tr>
      <w:tr>
        <w:tblPrEx>
          <w:tblBorders>
            <w:top w:val="single" w:color="auto" w:sz="4" w:space="0"/>
            <w:left w:val="none" w:color="auto" w:sz="0" w:space="0"/>
            <w:bottom w:val="single" w:color="auto" w:sz="4" w:space="0"/>
            <w:right w:val="none" w:color="auto" w:sz="0" w:space="0"/>
            <w:insideH w:val="none" w:color="auto" w:sz="0" w:space="0"/>
            <w:insideV w:val="single" w:color="000000" w:themeColor="text1" w:sz="4" w:space="0"/>
          </w:tblBorders>
          <w:tblCellMar>
            <w:top w:w="0" w:type="dxa"/>
            <w:left w:w="108" w:type="dxa"/>
            <w:bottom w:w="0" w:type="dxa"/>
            <w:right w:w="108" w:type="dxa"/>
          </w:tblCellMar>
        </w:tblPrEx>
        <w:tc>
          <w:tcPr>
            <w:tcW w:w="1701" w:type="dxa"/>
            <w:tcBorders>
              <w:top w:val="nil"/>
              <w:bottom w:val="nil"/>
            </w:tcBorders>
            <w:vAlign w:val="center"/>
          </w:tcPr>
          <w:p>
            <w:pPr>
              <w:jc w:val="center"/>
              <w:rPr>
                <w:rFonts w:cs="Times New Roman"/>
                <w:szCs w:val="24"/>
              </w:rPr>
            </w:pPr>
            <w:r>
              <w:rPr>
                <w:rFonts w:hint="eastAsia" w:cs="Times New Roman"/>
                <w:szCs w:val="24"/>
              </w:rPr>
              <w:t>5</w:t>
            </w:r>
          </w:p>
        </w:tc>
        <w:tc>
          <w:tcPr>
            <w:tcW w:w="2533" w:type="dxa"/>
            <w:tcBorders>
              <w:top w:val="nil"/>
              <w:bottom w:val="nil"/>
            </w:tcBorders>
            <w:vAlign w:val="center"/>
          </w:tcPr>
          <w:p>
            <w:pPr>
              <w:jc w:val="center"/>
              <w:rPr>
                <w:rFonts w:cs="Times New Roman"/>
                <w:szCs w:val="24"/>
              </w:rPr>
            </w:pPr>
            <w:r>
              <w:rPr>
                <w:rFonts w:cs="Times New Roman"/>
                <w:szCs w:val="24"/>
              </w:rPr>
              <w:t>pm25_mass_frac_ga</w:t>
            </w:r>
          </w:p>
        </w:tc>
        <w:tc>
          <w:tcPr>
            <w:tcW w:w="1720" w:type="dxa"/>
            <w:tcBorders>
              <w:top w:val="nil"/>
              <w:bottom w:val="nil"/>
            </w:tcBorders>
            <w:vAlign w:val="center"/>
          </w:tcPr>
          <w:p>
            <w:pPr>
              <w:jc w:val="center"/>
              <w:rPr>
                <w:rFonts w:cs="Times New Roman"/>
                <w:szCs w:val="24"/>
              </w:rPr>
            </w:pPr>
            <w:r>
              <w:rPr>
                <w:rFonts w:hint="eastAsia" w:cs="Times New Roman"/>
                <w:szCs w:val="24"/>
              </w:rPr>
              <w:t>17</w:t>
            </w:r>
          </w:p>
        </w:tc>
        <w:tc>
          <w:tcPr>
            <w:tcW w:w="2352" w:type="dxa"/>
            <w:tcBorders>
              <w:top w:val="nil"/>
              <w:bottom w:val="nil"/>
            </w:tcBorders>
            <w:vAlign w:val="center"/>
          </w:tcPr>
          <w:p>
            <w:pPr>
              <w:jc w:val="center"/>
              <w:rPr>
                <w:rFonts w:cs="Times New Roman"/>
                <w:szCs w:val="24"/>
              </w:rPr>
            </w:pPr>
            <w:r>
              <w:rPr>
                <w:rFonts w:cs="Times New Roman"/>
                <w:szCs w:val="24"/>
              </w:rPr>
              <w:t>i_no3r_ga</w:t>
            </w:r>
          </w:p>
        </w:tc>
      </w:tr>
      <w:tr>
        <w:tblPrEx>
          <w:tblBorders>
            <w:top w:val="single" w:color="auto" w:sz="4" w:space="0"/>
            <w:left w:val="none" w:color="auto" w:sz="0" w:space="0"/>
            <w:bottom w:val="single" w:color="auto" w:sz="4" w:space="0"/>
            <w:right w:val="none" w:color="auto" w:sz="0" w:space="0"/>
            <w:insideH w:val="none" w:color="auto" w:sz="0" w:space="0"/>
            <w:insideV w:val="single" w:color="000000" w:themeColor="text1" w:sz="4" w:space="0"/>
          </w:tblBorders>
          <w:tblCellMar>
            <w:top w:w="0" w:type="dxa"/>
            <w:left w:w="108" w:type="dxa"/>
            <w:bottom w:w="0" w:type="dxa"/>
            <w:right w:w="108" w:type="dxa"/>
          </w:tblCellMar>
        </w:tblPrEx>
        <w:tc>
          <w:tcPr>
            <w:tcW w:w="1701" w:type="dxa"/>
            <w:tcBorders>
              <w:top w:val="nil"/>
              <w:bottom w:val="nil"/>
            </w:tcBorders>
            <w:vAlign w:val="center"/>
          </w:tcPr>
          <w:p>
            <w:pPr>
              <w:jc w:val="center"/>
              <w:rPr>
                <w:rFonts w:cs="Times New Roman"/>
                <w:szCs w:val="24"/>
              </w:rPr>
            </w:pPr>
            <w:r>
              <w:rPr>
                <w:rFonts w:hint="eastAsia" w:cs="Times New Roman"/>
                <w:szCs w:val="24"/>
              </w:rPr>
              <w:t>6</w:t>
            </w:r>
          </w:p>
        </w:tc>
        <w:tc>
          <w:tcPr>
            <w:tcW w:w="2533" w:type="dxa"/>
            <w:tcBorders>
              <w:top w:val="nil"/>
              <w:bottom w:val="nil"/>
            </w:tcBorders>
            <w:vAlign w:val="center"/>
          </w:tcPr>
          <w:p>
            <w:pPr>
              <w:jc w:val="center"/>
              <w:rPr>
                <w:rFonts w:cs="Times New Roman"/>
                <w:szCs w:val="24"/>
              </w:rPr>
            </w:pPr>
            <w:r>
              <w:rPr>
                <w:rFonts w:cs="Times New Roman"/>
                <w:szCs w:val="24"/>
              </w:rPr>
              <w:t>fcr_ga</w:t>
            </w:r>
          </w:p>
        </w:tc>
        <w:tc>
          <w:tcPr>
            <w:tcW w:w="1720" w:type="dxa"/>
            <w:tcBorders>
              <w:top w:val="nil"/>
              <w:bottom w:val="nil"/>
            </w:tcBorders>
            <w:vAlign w:val="center"/>
          </w:tcPr>
          <w:p>
            <w:pPr>
              <w:jc w:val="center"/>
              <w:rPr>
                <w:rFonts w:cs="Times New Roman"/>
                <w:szCs w:val="24"/>
              </w:rPr>
            </w:pPr>
            <w:r>
              <w:rPr>
                <w:rFonts w:hint="eastAsia" w:cs="Times New Roman"/>
                <w:szCs w:val="24"/>
              </w:rPr>
              <w:t>18</w:t>
            </w:r>
          </w:p>
        </w:tc>
        <w:tc>
          <w:tcPr>
            <w:tcW w:w="2352" w:type="dxa"/>
            <w:tcBorders>
              <w:top w:val="nil"/>
              <w:bottom w:val="nil"/>
            </w:tcBorders>
            <w:vAlign w:val="center"/>
          </w:tcPr>
          <w:p>
            <w:pPr>
              <w:jc w:val="center"/>
              <w:rPr>
                <w:rFonts w:cs="Times New Roman"/>
                <w:szCs w:val="24"/>
              </w:rPr>
            </w:pPr>
            <w:r>
              <w:rPr>
                <w:rFonts w:hint="eastAsia" w:cs="Times New Roman"/>
                <w:szCs w:val="24"/>
              </w:rPr>
              <w:t>i</w:t>
            </w:r>
            <w:r>
              <w:rPr>
                <w:rFonts w:cs="Times New Roman"/>
                <w:szCs w:val="24"/>
              </w:rPr>
              <w:t>_ocb_ga</w:t>
            </w:r>
          </w:p>
        </w:tc>
      </w:tr>
      <w:tr>
        <w:tblPrEx>
          <w:tblBorders>
            <w:top w:val="single" w:color="auto" w:sz="4" w:space="0"/>
            <w:left w:val="none" w:color="auto" w:sz="0" w:space="0"/>
            <w:bottom w:val="single" w:color="auto" w:sz="4" w:space="0"/>
            <w:right w:val="none" w:color="auto" w:sz="0" w:space="0"/>
            <w:insideH w:val="none" w:color="auto" w:sz="0" w:space="0"/>
            <w:insideV w:val="single" w:color="000000" w:themeColor="text1" w:sz="4" w:space="0"/>
          </w:tblBorders>
          <w:tblCellMar>
            <w:top w:w="0" w:type="dxa"/>
            <w:left w:w="108" w:type="dxa"/>
            <w:bottom w:w="0" w:type="dxa"/>
            <w:right w:w="108" w:type="dxa"/>
          </w:tblCellMar>
        </w:tblPrEx>
        <w:tc>
          <w:tcPr>
            <w:tcW w:w="1701" w:type="dxa"/>
            <w:tcBorders>
              <w:top w:val="nil"/>
              <w:bottom w:val="nil"/>
            </w:tcBorders>
            <w:vAlign w:val="center"/>
          </w:tcPr>
          <w:p>
            <w:pPr>
              <w:jc w:val="center"/>
              <w:rPr>
                <w:rFonts w:cs="Times New Roman"/>
                <w:szCs w:val="24"/>
              </w:rPr>
            </w:pPr>
            <w:r>
              <w:rPr>
                <w:rFonts w:hint="eastAsia" w:cs="Times New Roman"/>
                <w:szCs w:val="24"/>
              </w:rPr>
              <w:t>7</w:t>
            </w:r>
          </w:p>
        </w:tc>
        <w:tc>
          <w:tcPr>
            <w:tcW w:w="2533" w:type="dxa"/>
            <w:tcBorders>
              <w:top w:val="nil"/>
              <w:bottom w:val="nil"/>
            </w:tcBorders>
            <w:vAlign w:val="center"/>
          </w:tcPr>
          <w:p>
            <w:pPr>
              <w:jc w:val="center"/>
              <w:rPr>
                <w:rFonts w:cs="Times New Roman"/>
                <w:szCs w:val="24"/>
              </w:rPr>
            </w:pPr>
            <w:r>
              <w:rPr>
                <w:rFonts w:cs="Times New Roman"/>
                <w:szCs w:val="24"/>
              </w:rPr>
              <w:t>fec_ga</w:t>
            </w:r>
          </w:p>
        </w:tc>
        <w:tc>
          <w:tcPr>
            <w:tcW w:w="1720" w:type="dxa"/>
            <w:tcBorders>
              <w:top w:val="nil"/>
              <w:bottom w:val="nil"/>
            </w:tcBorders>
            <w:vAlign w:val="center"/>
          </w:tcPr>
          <w:p>
            <w:pPr>
              <w:jc w:val="center"/>
              <w:rPr>
                <w:rFonts w:cs="Times New Roman"/>
                <w:szCs w:val="24"/>
              </w:rPr>
            </w:pPr>
            <w:r>
              <w:rPr>
                <w:rFonts w:hint="eastAsia" w:cs="Times New Roman"/>
                <w:szCs w:val="24"/>
              </w:rPr>
              <w:t>19</w:t>
            </w:r>
          </w:p>
        </w:tc>
        <w:tc>
          <w:tcPr>
            <w:tcW w:w="2352" w:type="dxa"/>
            <w:tcBorders>
              <w:top w:val="nil"/>
              <w:bottom w:val="nil"/>
            </w:tcBorders>
            <w:vAlign w:val="center"/>
          </w:tcPr>
          <w:p>
            <w:pPr>
              <w:jc w:val="center"/>
              <w:rPr>
                <w:rFonts w:cs="Times New Roman"/>
                <w:szCs w:val="24"/>
              </w:rPr>
            </w:pPr>
            <w:r>
              <w:rPr>
                <w:rFonts w:cs="Times New Roman"/>
                <w:szCs w:val="24"/>
              </w:rPr>
              <w:t>i_ec_ga</w:t>
            </w:r>
          </w:p>
        </w:tc>
      </w:tr>
      <w:tr>
        <w:tblPrEx>
          <w:tblBorders>
            <w:top w:val="single" w:color="auto" w:sz="4" w:space="0"/>
            <w:left w:val="none" w:color="auto" w:sz="0" w:space="0"/>
            <w:bottom w:val="single" w:color="auto" w:sz="4" w:space="0"/>
            <w:right w:val="none" w:color="auto" w:sz="0" w:space="0"/>
            <w:insideH w:val="none" w:color="auto" w:sz="0" w:space="0"/>
            <w:insideV w:val="single" w:color="000000" w:themeColor="text1" w:sz="4" w:space="0"/>
          </w:tblBorders>
          <w:tblCellMar>
            <w:top w:w="0" w:type="dxa"/>
            <w:left w:w="108" w:type="dxa"/>
            <w:bottom w:w="0" w:type="dxa"/>
            <w:right w:w="108" w:type="dxa"/>
          </w:tblCellMar>
        </w:tblPrEx>
        <w:tc>
          <w:tcPr>
            <w:tcW w:w="1701" w:type="dxa"/>
            <w:tcBorders>
              <w:top w:val="nil"/>
              <w:bottom w:val="nil"/>
            </w:tcBorders>
            <w:vAlign w:val="center"/>
          </w:tcPr>
          <w:p>
            <w:pPr>
              <w:jc w:val="center"/>
              <w:rPr>
                <w:rFonts w:cs="Times New Roman"/>
                <w:szCs w:val="24"/>
              </w:rPr>
            </w:pPr>
            <w:r>
              <w:rPr>
                <w:rFonts w:hint="eastAsia" w:cs="Times New Roman"/>
                <w:szCs w:val="24"/>
              </w:rPr>
              <w:t>8</w:t>
            </w:r>
          </w:p>
        </w:tc>
        <w:tc>
          <w:tcPr>
            <w:tcW w:w="2533" w:type="dxa"/>
            <w:tcBorders>
              <w:top w:val="nil"/>
              <w:bottom w:val="nil"/>
            </w:tcBorders>
            <w:vAlign w:val="center"/>
          </w:tcPr>
          <w:p>
            <w:pPr>
              <w:jc w:val="center"/>
              <w:rPr>
                <w:rFonts w:cs="Times New Roman"/>
                <w:szCs w:val="24"/>
              </w:rPr>
            </w:pPr>
            <w:r>
              <w:rPr>
                <w:rFonts w:cs="Times New Roman"/>
                <w:szCs w:val="24"/>
              </w:rPr>
              <w:t>fnh4_ga</w:t>
            </w:r>
          </w:p>
        </w:tc>
        <w:tc>
          <w:tcPr>
            <w:tcW w:w="1720" w:type="dxa"/>
            <w:tcBorders>
              <w:top w:val="nil"/>
              <w:bottom w:val="nil"/>
            </w:tcBorders>
            <w:vAlign w:val="center"/>
          </w:tcPr>
          <w:p>
            <w:pPr>
              <w:jc w:val="center"/>
              <w:rPr>
                <w:rFonts w:cs="Times New Roman"/>
                <w:szCs w:val="24"/>
              </w:rPr>
            </w:pPr>
            <w:r>
              <w:rPr>
                <w:rFonts w:hint="eastAsia" w:cs="Times New Roman"/>
                <w:szCs w:val="24"/>
              </w:rPr>
              <w:t>20</w:t>
            </w:r>
          </w:p>
        </w:tc>
        <w:tc>
          <w:tcPr>
            <w:tcW w:w="2352" w:type="dxa"/>
            <w:tcBorders>
              <w:top w:val="nil"/>
              <w:bottom w:val="nil"/>
            </w:tcBorders>
            <w:vAlign w:val="center"/>
          </w:tcPr>
          <w:p>
            <w:pPr>
              <w:jc w:val="center"/>
              <w:rPr>
                <w:rFonts w:cs="Times New Roman"/>
                <w:szCs w:val="24"/>
              </w:rPr>
            </w:pPr>
            <w:r>
              <w:rPr>
                <w:rFonts w:cs="Times New Roman"/>
                <w:szCs w:val="24"/>
              </w:rPr>
              <w:t>i_crustal_ga</w:t>
            </w:r>
          </w:p>
        </w:tc>
      </w:tr>
      <w:tr>
        <w:tblPrEx>
          <w:tblBorders>
            <w:top w:val="single" w:color="auto" w:sz="4" w:space="0"/>
            <w:left w:val="none" w:color="auto" w:sz="0" w:space="0"/>
            <w:bottom w:val="single" w:color="auto" w:sz="4" w:space="0"/>
            <w:right w:val="none" w:color="auto" w:sz="0" w:space="0"/>
            <w:insideH w:val="none" w:color="auto" w:sz="0" w:space="0"/>
            <w:insideV w:val="single" w:color="000000" w:themeColor="text1" w:sz="4" w:space="0"/>
          </w:tblBorders>
          <w:tblCellMar>
            <w:top w:w="0" w:type="dxa"/>
            <w:left w:w="108" w:type="dxa"/>
            <w:bottom w:w="0" w:type="dxa"/>
            <w:right w:w="108" w:type="dxa"/>
          </w:tblCellMar>
        </w:tblPrEx>
        <w:tc>
          <w:tcPr>
            <w:tcW w:w="1701" w:type="dxa"/>
            <w:tcBorders>
              <w:top w:val="nil"/>
              <w:bottom w:val="nil"/>
            </w:tcBorders>
            <w:vAlign w:val="center"/>
          </w:tcPr>
          <w:p>
            <w:pPr>
              <w:jc w:val="center"/>
              <w:rPr>
                <w:rFonts w:cs="Times New Roman"/>
                <w:szCs w:val="24"/>
              </w:rPr>
            </w:pPr>
            <w:r>
              <w:rPr>
                <w:rFonts w:hint="eastAsia" w:cs="Times New Roman"/>
                <w:szCs w:val="24"/>
              </w:rPr>
              <w:t>9</w:t>
            </w:r>
          </w:p>
        </w:tc>
        <w:tc>
          <w:tcPr>
            <w:tcW w:w="2533" w:type="dxa"/>
            <w:tcBorders>
              <w:top w:val="nil"/>
              <w:bottom w:val="nil"/>
            </w:tcBorders>
            <w:vAlign w:val="center"/>
          </w:tcPr>
          <w:p>
            <w:pPr>
              <w:jc w:val="center"/>
              <w:rPr>
                <w:rFonts w:cs="Times New Roman"/>
                <w:szCs w:val="24"/>
              </w:rPr>
            </w:pPr>
            <w:r>
              <w:rPr>
                <w:rFonts w:cs="Times New Roman"/>
                <w:szCs w:val="24"/>
              </w:rPr>
              <w:t>focm_ga</w:t>
            </w:r>
          </w:p>
        </w:tc>
        <w:tc>
          <w:tcPr>
            <w:tcW w:w="1720" w:type="dxa"/>
            <w:tcBorders>
              <w:top w:val="nil"/>
              <w:bottom w:val="nil"/>
            </w:tcBorders>
            <w:vAlign w:val="center"/>
          </w:tcPr>
          <w:p>
            <w:pPr>
              <w:jc w:val="center"/>
              <w:rPr>
                <w:rFonts w:cs="Times New Roman"/>
                <w:szCs w:val="24"/>
              </w:rPr>
            </w:pPr>
            <w:r>
              <w:rPr>
                <w:rFonts w:hint="eastAsia" w:cs="Times New Roman"/>
                <w:szCs w:val="24"/>
              </w:rPr>
              <w:t>21</w:t>
            </w:r>
          </w:p>
        </w:tc>
        <w:tc>
          <w:tcPr>
            <w:tcW w:w="2352" w:type="dxa"/>
            <w:tcBorders>
              <w:top w:val="nil"/>
              <w:bottom w:val="nil"/>
            </w:tcBorders>
            <w:vAlign w:val="center"/>
          </w:tcPr>
          <w:p>
            <w:pPr>
              <w:jc w:val="center"/>
              <w:rPr>
                <w:rFonts w:cs="Times New Roman"/>
                <w:szCs w:val="24"/>
              </w:rPr>
            </w:pPr>
            <w:r>
              <w:rPr>
                <w:rFonts w:cs="Times New Roman"/>
                <w:szCs w:val="24"/>
              </w:rPr>
              <w:t>i_don_ga</w:t>
            </w:r>
          </w:p>
        </w:tc>
      </w:tr>
      <w:tr>
        <w:tblPrEx>
          <w:tblBorders>
            <w:top w:val="single" w:color="auto" w:sz="4" w:space="0"/>
            <w:left w:val="none" w:color="auto" w:sz="0" w:space="0"/>
            <w:bottom w:val="single" w:color="auto" w:sz="4" w:space="0"/>
            <w:right w:val="none" w:color="auto" w:sz="0" w:space="0"/>
            <w:insideH w:val="none" w:color="auto" w:sz="0" w:space="0"/>
            <w:insideV w:val="single" w:color="000000" w:themeColor="text1" w:sz="4" w:space="0"/>
          </w:tblBorders>
          <w:tblCellMar>
            <w:top w:w="0" w:type="dxa"/>
            <w:left w:w="108" w:type="dxa"/>
            <w:bottom w:w="0" w:type="dxa"/>
            <w:right w:w="108" w:type="dxa"/>
          </w:tblCellMar>
        </w:tblPrEx>
        <w:tc>
          <w:tcPr>
            <w:tcW w:w="1701" w:type="dxa"/>
            <w:tcBorders>
              <w:top w:val="nil"/>
              <w:bottom w:val="nil"/>
            </w:tcBorders>
            <w:vAlign w:val="center"/>
          </w:tcPr>
          <w:p>
            <w:pPr>
              <w:jc w:val="center"/>
              <w:rPr>
                <w:rFonts w:cs="Times New Roman"/>
                <w:szCs w:val="24"/>
              </w:rPr>
            </w:pPr>
            <w:r>
              <w:rPr>
                <w:rFonts w:hint="eastAsia" w:cs="Times New Roman"/>
                <w:szCs w:val="24"/>
              </w:rPr>
              <w:t>10</w:t>
            </w:r>
          </w:p>
        </w:tc>
        <w:tc>
          <w:tcPr>
            <w:tcW w:w="2533" w:type="dxa"/>
            <w:tcBorders>
              <w:top w:val="nil"/>
              <w:bottom w:val="nil"/>
            </w:tcBorders>
            <w:vAlign w:val="center"/>
          </w:tcPr>
          <w:p>
            <w:pPr>
              <w:jc w:val="center"/>
              <w:rPr>
                <w:rFonts w:cs="Times New Roman"/>
                <w:szCs w:val="24"/>
              </w:rPr>
            </w:pPr>
            <w:r>
              <w:rPr>
                <w:rFonts w:cs="Times New Roman"/>
                <w:szCs w:val="24"/>
              </w:rPr>
              <w:t>fso4_ga</w:t>
            </w:r>
          </w:p>
        </w:tc>
        <w:tc>
          <w:tcPr>
            <w:tcW w:w="1720" w:type="dxa"/>
            <w:tcBorders>
              <w:top w:val="nil"/>
              <w:bottom w:val="nil"/>
            </w:tcBorders>
            <w:vAlign w:val="center"/>
          </w:tcPr>
          <w:p>
            <w:pPr>
              <w:jc w:val="center"/>
              <w:rPr>
                <w:rFonts w:cs="Times New Roman"/>
                <w:szCs w:val="24"/>
              </w:rPr>
            </w:pPr>
            <w:r>
              <w:rPr>
                <w:rFonts w:hint="eastAsia" w:cs="Times New Roman"/>
                <w:szCs w:val="24"/>
              </w:rPr>
              <w:t>22</w:t>
            </w:r>
          </w:p>
        </w:tc>
        <w:tc>
          <w:tcPr>
            <w:tcW w:w="2352" w:type="dxa"/>
            <w:tcBorders>
              <w:top w:val="nil"/>
              <w:bottom w:val="nil"/>
            </w:tcBorders>
            <w:vAlign w:val="center"/>
          </w:tcPr>
          <w:p>
            <w:pPr>
              <w:jc w:val="center"/>
              <w:rPr>
                <w:rFonts w:cs="Times New Roman"/>
                <w:szCs w:val="24"/>
              </w:rPr>
            </w:pPr>
            <w:r>
              <w:rPr>
                <w:rFonts w:cs="Times New Roman"/>
                <w:szCs w:val="24"/>
              </w:rPr>
              <w:t>i_nh4_ga</w:t>
            </w:r>
          </w:p>
        </w:tc>
      </w:tr>
      <w:tr>
        <w:tblPrEx>
          <w:tblBorders>
            <w:top w:val="single" w:color="auto" w:sz="4" w:space="0"/>
            <w:left w:val="none" w:color="auto" w:sz="0" w:space="0"/>
            <w:bottom w:val="single" w:color="auto" w:sz="4" w:space="0"/>
            <w:right w:val="none" w:color="auto" w:sz="0" w:space="0"/>
            <w:insideH w:val="none" w:color="auto" w:sz="0" w:space="0"/>
            <w:insideV w:val="single" w:color="000000" w:themeColor="text1" w:sz="4" w:space="0"/>
          </w:tblBorders>
          <w:tblCellMar>
            <w:top w:w="0" w:type="dxa"/>
            <w:left w:w="108" w:type="dxa"/>
            <w:bottom w:w="0" w:type="dxa"/>
            <w:right w:w="108" w:type="dxa"/>
          </w:tblCellMar>
        </w:tblPrEx>
        <w:tc>
          <w:tcPr>
            <w:tcW w:w="1701" w:type="dxa"/>
            <w:tcBorders>
              <w:top w:val="nil"/>
              <w:bottom w:val="nil"/>
            </w:tcBorders>
            <w:vAlign w:val="center"/>
          </w:tcPr>
          <w:p>
            <w:pPr>
              <w:jc w:val="center"/>
              <w:rPr>
                <w:rFonts w:cs="Times New Roman"/>
                <w:szCs w:val="24"/>
              </w:rPr>
            </w:pPr>
            <w:r>
              <w:rPr>
                <w:rFonts w:hint="eastAsia" w:cs="Times New Roman"/>
                <w:szCs w:val="24"/>
              </w:rPr>
              <w:t>11</w:t>
            </w:r>
          </w:p>
        </w:tc>
        <w:tc>
          <w:tcPr>
            <w:tcW w:w="2533" w:type="dxa"/>
            <w:tcBorders>
              <w:top w:val="nil"/>
              <w:bottom w:val="nil"/>
            </w:tcBorders>
            <w:vAlign w:val="center"/>
          </w:tcPr>
          <w:p>
            <w:pPr>
              <w:jc w:val="center"/>
              <w:rPr>
                <w:rFonts w:cs="Times New Roman"/>
                <w:szCs w:val="24"/>
              </w:rPr>
            </w:pPr>
            <w:r>
              <w:rPr>
                <w:rFonts w:cs="Times New Roman"/>
                <w:szCs w:val="24"/>
              </w:rPr>
              <w:t>fno3_ga</w:t>
            </w:r>
          </w:p>
        </w:tc>
        <w:tc>
          <w:tcPr>
            <w:tcW w:w="1720" w:type="dxa"/>
            <w:tcBorders>
              <w:top w:val="nil"/>
              <w:bottom w:val="nil"/>
            </w:tcBorders>
            <w:vAlign w:val="center"/>
          </w:tcPr>
          <w:p>
            <w:pPr>
              <w:jc w:val="center"/>
              <w:rPr>
                <w:rFonts w:cs="Times New Roman"/>
                <w:szCs w:val="24"/>
              </w:rPr>
            </w:pPr>
            <w:r>
              <w:rPr>
                <w:rFonts w:hint="eastAsia" w:cs="Times New Roman"/>
                <w:szCs w:val="24"/>
              </w:rPr>
              <w:t>23</w:t>
            </w:r>
          </w:p>
        </w:tc>
        <w:tc>
          <w:tcPr>
            <w:tcW w:w="2352" w:type="dxa"/>
            <w:tcBorders>
              <w:top w:val="nil"/>
              <w:bottom w:val="nil"/>
            </w:tcBorders>
            <w:vAlign w:val="center"/>
          </w:tcPr>
          <w:p>
            <w:pPr>
              <w:jc w:val="center"/>
              <w:rPr>
                <w:rFonts w:cs="Times New Roman"/>
                <w:szCs w:val="24"/>
              </w:rPr>
            </w:pPr>
            <w:r>
              <w:rPr>
                <w:rFonts w:cs="Times New Roman"/>
                <w:szCs w:val="24"/>
              </w:rPr>
              <w:t>i_no3_ga</w:t>
            </w:r>
          </w:p>
        </w:tc>
      </w:tr>
      <w:tr>
        <w:tblPrEx>
          <w:tblBorders>
            <w:top w:val="single" w:color="auto" w:sz="4" w:space="0"/>
            <w:left w:val="none" w:color="auto" w:sz="0" w:space="0"/>
            <w:bottom w:val="single" w:color="auto" w:sz="4" w:space="0"/>
            <w:right w:val="none" w:color="auto" w:sz="0" w:space="0"/>
            <w:insideH w:val="none" w:color="auto" w:sz="0" w:space="0"/>
            <w:insideV w:val="single" w:color="000000" w:themeColor="text1" w:sz="4" w:space="0"/>
          </w:tblBorders>
          <w:tblCellMar>
            <w:top w:w="0" w:type="dxa"/>
            <w:left w:w="108" w:type="dxa"/>
            <w:bottom w:w="0" w:type="dxa"/>
            <w:right w:w="108" w:type="dxa"/>
          </w:tblCellMar>
        </w:tblPrEx>
        <w:tc>
          <w:tcPr>
            <w:tcW w:w="1701" w:type="dxa"/>
            <w:tcBorders>
              <w:top w:val="nil"/>
              <w:bottom w:val="single" w:color="auto" w:sz="4" w:space="0"/>
            </w:tcBorders>
            <w:vAlign w:val="center"/>
          </w:tcPr>
          <w:p>
            <w:pPr>
              <w:jc w:val="center"/>
              <w:rPr>
                <w:rFonts w:cs="Times New Roman"/>
                <w:szCs w:val="24"/>
              </w:rPr>
            </w:pPr>
            <w:r>
              <w:rPr>
                <w:rFonts w:hint="eastAsia" w:cs="Times New Roman"/>
                <w:szCs w:val="24"/>
              </w:rPr>
              <w:t>12</w:t>
            </w:r>
          </w:p>
        </w:tc>
        <w:tc>
          <w:tcPr>
            <w:tcW w:w="2533" w:type="dxa"/>
            <w:tcBorders>
              <w:top w:val="nil"/>
              <w:bottom w:val="single" w:color="auto" w:sz="4" w:space="0"/>
            </w:tcBorders>
            <w:vAlign w:val="center"/>
          </w:tcPr>
          <w:p>
            <w:pPr>
              <w:jc w:val="center"/>
              <w:rPr>
                <w:rFonts w:cs="Times New Roman"/>
                <w:szCs w:val="24"/>
              </w:rPr>
            </w:pPr>
            <w:r>
              <w:rPr>
                <w:rFonts w:cs="Times New Roman"/>
                <w:szCs w:val="24"/>
              </w:rPr>
              <w:t>fwater_ga</w:t>
            </w:r>
          </w:p>
        </w:tc>
        <w:tc>
          <w:tcPr>
            <w:tcW w:w="1720" w:type="dxa"/>
            <w:tcBorders>
              <w:top w:val="nil"/>
              <w:bottom w:val="single" w:color="auto" w:sz="4" w:space="0"/>
            </w:tcBorders>
            <w:vAlign w:val="center"/>
          </w:tcPr>
          <w:p>
            <w:pPr>
              <w:jc w:val="center"/>
              <w:rPr>
                <w:rFonts w:cs="Times New Roman"/>
                <w:szCs w:val="24"/>
              </w:rPr>
            </w:pPr>
            <w:r>
              <w:rPr>
                <w:rFonts w:hint="eastAsia" w:cs="Times New Roman"/>
                <w:szCs w:val="24"/>
              </w:rPr>
              <w:t>24</w:t>
            </w:r>
          </w:p>
        </w:tc>
        <w:tc>
          <w:tcPr>
            <w:tcW w:w="2352" w:type="dxa"/>
            <w:tcBorders>
              <w:top w:val="nil"/>
              <w:bottom w:val="single" w:color="auto" w:sz="4" w:space="0"/>
            </w:tcBorders>
            <w:vAlign w:val="center"/>
          </w:tcPr>
          <w:p>
            <w:pPr>
              <w:jc w:val="center"/>
              <w:rPr>
                <w:rFonts w:cs="Times New Roman"/>
                <w:szCs w:val="24"/>
              </w:rPr>
            </w:pPr>
            <w:r>
              <w:rPr>
                <w:rFonts w:cs="Times New Roman"/>
                <w:szCs w:val="24"/>
              </w:rPr>
              <w:t>i_salt_ga</w:t>
            </w:r>
          </w:p>
        </w:tc>
      </w:tr>
    </w:tbl>
    <w:p>
      <w:pPr>
        <w:spacing w:line="360" w:lineRule="auto"/>
        <w:ind w:left="420" w:hanging="420" w:hangingChars="175"/>
        <w:rPr>
          <w:rFonts w:cs="Times New Roman"/>
          <w:szCs w:val="24"/>
        </w:rPr>
      </w:pPr>
    </w:p>
    <w:p>
      <w:pPr>
        <w:pStyle w:val="65"/>
        <w:spacing w:line="360" w:lineRule="auto"/>
      </w:pPr>
      <w:r>
        <w:rPr>
          <w:b/>
        </w:rPr>
        <w:t xml:space="preserve">Cases &amp; Emission File: </w:t>
      </w:r>
      <w:r>
        <w:t>A *.csv formatted file describes information of base &amp; control cases and corresponding emission data. It contains three headers: “Case Name”, “Pollutant” and “Emission Path”. The “Emission Path” is used to link to the emission file which defines the</w:t>
      </w:r>
      <w:r>
        <w:rPr>
          <w:rFonts w:hint="eastAsia"/>
        </w:rPr>
        <w:t xml:space="preserve"> </w:t>
      </w:r>
      <w:r>
        <w:t>total emissions by tag for all the baseline and policy scenarios (e.g., ACE 2025, 2030, 2035).</w:t>
      </w:r>
    </w:p>
    <w:p>
      <w:pPr>
        <w:pStyle w:val="65"/>
        <w:spacing w:line="360" w:lineRule="auto"/>
      </w:pPr>
      <w:r>
        <w:rPr>
          <w:b/>
        </w:rPr>
        <w:t xml:space="preserve">Validation Configuration File: </w:t>
      </w:r>
      <w:r>
        <w:t>A *.csv formatted file that describes the configuration for FAST-CE cases and QA cases contains three headers: “FAST-CE Case”, “QA Case”, and “QA File”. The “FAST-CE Case” is the case name of FAST-CE analysis, which is consistent with the control case of “Cases &amp; Emission File”. The “QA Case” is the user-defined name to each QA analysis and “QA File” is the origin EPA ACE results file.</w:t>
      </w:r>
    </w:p>
    <w:p>
      <w:pPr>
        <w:pStyle w:val="4"/>
      </w:pPr>
      <w:bookmarkStart w:id="58" w:name="_Toc122982051"/>
      <w:r>
        <w:t>File Types for RSM method</w:t>
      </w:r>
      <w:bookmarkEnd w:id="58"/>
    </w:p>
    <w:p>
      <w:pPr>
        <w:pStyle w:val="65"/>
        <w:spacing w:line="360" w:lineRule="auto"/>
      </w:pPr>
      <w:r>
        <w:rPr>
          <w:b/>
        </w:rPr>
        <w:t>RSM Input File:</w:t>
      </w:r>
      <w:r>
        <w:t xml:space="preserve"> A pre-run RSM file, created by RSM-VAT.</w:t>
      </w:r>
    </w:p>
    <w:p>
      <w:pPr>
        <w:pStyle w:val="65"/>
        <w:spacing w:line="360" w:lineRule="auto"/>
      </w:pPr>
      <w:r>
        <w:rPr>
          <w:b/>
        </w:rPr>
        <w:t>Receptor Region File:</w:t>
      </w:r>
      <w:r>
        <w:t xml:space="preserve"> A separate *.txt file that defines the grids of the analyzed receptors. The meaning of each column is the same as the “Receptor Region File” of the OSAT/PSAT/APCA/ISAM method.</w:t>
      </w:r>
    </w:p>
    <w:p>
      <w:pPr>
        <w:pStyle w:val="65"/>
        <w:spacing w:line="360" w:lineRule="auto"/>
      </w:pPr>
      <w:r>
        <w:rPr>
          <w:b/>
        </w:rPr>
        <w:t>Emission Matrix File:</w:t>
      </w:r>
      <w:r>
        <w:t xml:space="preserve"> A *.csv file used to set up RSM base &amp; control cases contains two headers: “Case Name” and “Emission Path”. The case name can be defined by the user and the “Emission Path” is the path of corresponding “FactorsInfo” file which describes the information of emission factor, including the attribute</w:t>
      </w:r>
      <w:r>
        <w:rPr>
          <w:rFonts w:hint="eastAsia"/>
        </w:rPr>
        <w:t>,</w:t>
      </w:r>
      <w:r>
        <w:t xml:space="preserve"> size, and source of each factor.</w:t>
      </w:r>
    </w:p>
    <w:p>
      <w:pPr>
        <w:pStyle w:val="50"/>
        <w:spacing w:line="360" w:lineRule="auto"/>
        <w:ind w:firstLine="0" w:firstLineChars="0"/>
      </w:pPr>
      <w:r>
        <w:fldChar w:fldCharType="begin"/>
      </w:r>
      <w:r>
        <w:instrText xml:space="preserve"> REF _Ref43733183 \h  \* MERGEFORMAT </w:instrText>
      </w:r>
      <w:r>
        <w:fldChar w:fldCharType="separate"/>
      </w:r>
      <w:r>
        <w:t>Table 4</w:t>
      </w:r>
      <w:r>
        <w:fldChar w:fldCharType="end"/>
      </w:r>
      <w:r>
        <w:t xml:space="preserve"> presents the type, name, extension, and data source of the files.</w:t>
      </w:r>
    </w:p>
    <w:p>
      <w:pPr>
        <w:pStyle w:val="11"/>
        <w:spacing w:line="360" w:lineRule="auto"/>
        <w:ind w:firstLine="240"/>
      </w:pPr>
      <w:bookmarkStart w:id="59" w:name="_Ref43733183"/>
      <w:bookmarkStart w:id="60" w:name="_Toc43734237"/>
      <w:bookmarkStart w:id="61" w:name="_Toc43734717"/>
      <w:bookmarkStart w:id="62" w:name="_Toc43806403"/>
      <w:bookmarkStart w:id="63" w:name="_Toc122982095"/>
      <w:r>
        <w:t xml:space="preserve">Table </w:t>
      </w:r>
      <w:r>
        <w:fldChar w:fldCharType="begin"/>
      </w:r>
      <w:r>
        <w:instrText xml:space="preserve"> SEQ Table \* ARABIC </w:instrText>
      </w:r>
      <w:r>
        <w:fldChar w:fldCharType="separate"/>
      </w:r>
      <w:r>
        <w:t>4</w:t>
      </w:r>
      <w:r>
        <w:fldChar w:fldCharType="end"/>
      </w:r>
      <w:bookmarkEnd w:id="59"/>
      <w:r>
        <w:t>. File types used by FAST-CE</w:t>
      </w:r>
      <w:bookmarkEnd w:id="60"/>
      <w:bookmarkEnd w:id="61"/>
      <w:bookmarkEnd w:id="62"/>
      <w:bookmarkEnd w:id="63"/>
    </w:p>
    <w:tbl>
      <w:tblPr>
        <w:tblStyle w:val="26"/>
        <w:tblW w:w="84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69"/>
        <w:gridCol w:w="1885"/>
        <w:gridCol w:w="28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3769" w:type="dxa"/>
            <w:shd w:val="clear" w:color="auto" w:fill="B4C6E7" w:themeFill="accent1" w:themeFillTint="66"/>
            <w:vAlign w:val="center"/>
          </w:tcPr>
          <w:p>
            <w:pPr>
              <w:jc w:val="center"/>
            </w:pPr>
            <w:r>
              <w:rPr>
                <w:rFonts w:cs="Times New Roman"/>
                <w:szCs w:val="24"/>
              </w:rPr>
              <w:t>Filename</w:t>
            </w:r>
          </w:p>
        </w:tc>
        <w:tc>
          <w:tcPr>
            <w:tcW w:w="1885" w:type="dxa"/>
            <w:shd w:val="clear" w:color="auto" w:fill="B4C6E7" w:themeFill="accent1" w:themeFillTint="66"/>
            <w:vAlign w:val="center"/>
          </w:tcPr>
          <w:p>
            <w:pPr>
              <w:jc w:val="center"/>
            </w:pPr>
            <w:r>
              <w:rPr>
                <w:rFonts w:cs="Times New Roman"/>
                <w:szCs w:val="24"/>
              </w:rPr>
              <w:t>File Extension</w:t>
            </w:r>
          </w:p>
        </w:tc>
        <w:tc>
          <w:tcPr>
            <w:tcW w:w="2828" w:type="dxa"/>
            <w:shd w:val="clear" w:color="auto" w:fill="B4C6E7" w:themeFill="accent1" w:themeFillTint="66"/>
            <w:vAlign w:val="center"/>
          </w:tcPr>
          <w:p>
            <w:pPr>
              <w:jc w:val="center"/>
            </w:pPr>
            <w:r>
              <w:rPr>
                <w:rFonts w:hint="eastAsia" w:cs="Times New Roman"/>
                <w:szCs w:val="24"/>
              </w:rPr>
              <w:t>S</w:t>
            </w:r>
            <w:r>
              <w:rPr>
                <w:rFonts w:cs="Times New Roman"/>
                <w:szCs w:val="24"/>
              </w:rPr>
              <w:t>ource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3769" w:type="dxa"/>
            <w:vAlign w:val="center"/>
          </w:tcPr>
          <w:p>
            <w:pPr>
              <w:jc w:val="center"/>
            </w:pPr>
            <w:r>
              <w:t>CAMx Model data input</w:t>
            </w:r>
          </w:p>
        </w:tc>
        <w:tc>
          <w:tcPr>
            <w:tcW w:w="1885" w:type="dxa"/>
          </w:tcPr>
          <w:p>
            <w:pPr>
              <w:jc w:val="center"/>
            </w:pPr>
            <w:r>
              <w:rPr>
                <w:rFonts w:cs="Times New Roman"/>
                <w:szCs w:val="24"/>
              </w:rPr>
              <w:t>netcdf</w:t>
            </w:r>
          </w:p>
        </w:tc>
        <w:tc>
          <w:tcPr>
            <w:tcW w:w="2828" w:type="dxa"/>
            <w:vAlign w:val="center"/>
          </w:tcPr>
          <w:p>
            <w:pPr>
              <w:jc w:val="center"/>
            </w:pPr>
            <w:r>
              <w:rPr>
                <w:rFonts w:cs="Times New Roman"/>
                <w:szCs w:val="24"/>
              </w:rPr>
              <w:t>CAMx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3769" w:type="dxa"/>
            <w:vAlign w:val="center"/>
          </w:tcPr>
          <w:p>
            <w:pPr>
              <w:jc w:val="center"/>
            </w:pPr>
            <w:r>
              <w:rPr>
                <w:rFonts w:cs="Times New Roman"/>
                <w:szCs w:val="24"/>
              </w:rPr>
              <w:t>Receptor Region File</w:t>
            </w:r>
          </w:p>
        </w:tc>
        <w:tc>
          <w:tcPr>
            <w:tcW w:w="1885" w:type="dxa"/>
          </w:tcPr>
          <w:p>
            <w:pPr>
              <w:jc w:val="center"/>
            </w:pPr>
            <w:r>
              <w:rPr>
                <w:rFonts w:cs="Times New Roman"/>
                <w:szCs w:val="24"/>
              </w:rPr>
              <w:t>*.csv or *.txt</w:t>
            </w:r>
          </w:p>
        </w:tc>
        <w:tc>
          <w:tcPr>
            <w:tcW w:w="2828" w:type="dxa"/>
            <w:vAlign w:val="center"/>
          </w:tcPr>
          <w:p>
            <w:pPr>
              <w:jc w:val="center"/>
            </w:pPr>
            <w:r>
              <w:rPr>
                <w:rFonts w:hint="eastAsia" w:cs="Times New Roman"/>
                <w:szCs w:val="24"/>
              </w:rPr>
              <w:t>R</w:t>
            </w:r>
            <w:r>
              <w:rPr>
                <w:rFonts w:cs="Times New Roman"/>
                <w:szCs w:val="24"/>
              </w:rPr>
              <w:t>SM-VAT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3769" w:type="dxa"/>
          </w:tcPr>
          <w:p>
            <w:pPr>
              <w:jc w:val="center"/>
            </w:pPr>
            <w:r>
              <w:rPr>
                <w:rFonts w:cs="Times New Roman"/>
                <w:szCs w:val="24"/>
              </w:rPr>
              <w:t>Mapping File</w:t>
            </w:r>
          </w:p>
        </w:tc>
        <w:tc>
          <w:tcPr>
            <w:tcW w:w="1885" w:type="dxa"/>
          </w:tcPr>
          <w:p>
            <w:pPr>
              <w:jc w:val="center"/>
            </w:pPr>
            <w:r>
              <w:rPr>
                <w:rFonts w:cs="Times New Roman"/>
                <w:szCs w:val="24"/>
              </w:rPr>
              <w:t>*.csv</w:t>
            </w:r>
          </w:p>
        </w:tc>
        <w:tc>
          <w:tcPr>
            <w:tcW w:w="2828" w:type="dxa"/>
            <w:vAlign w:val="center"/>
          </w:tcPr>
          <w:p>
            <w:pPr>
              <w:jc w:val="center"/>
            </w:pPr>
            <w:r>
              <w:rPr>
                <w:rFonts w:hint="eastAsia" w:cs="Times New Roman"/>
                <w:szCs w:val="24"/>
              </w:rPr>
              <w:t>U</w:t>
            </w:r>
            <w:r>
              <w:rPr>
                <w:rFonts w:cs="Times New Roman"/>
                <w:szCs w:val="24"/>
              </w:rPr>
              <w:t>ser-defined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3769" w:type="dxa"/>
          </w:tcPr>
          <w:p>
            <w:pPr>
              <w:jc w:val="center"/>
            </w:pPr>
            <w:r>
              <w:rPr>
                <w:rFonts w:cs="Times New Roman"/>
                <w:szCs w:val="24"/>
              </w:rPr>
              <w:t xml:space="preserve">Baseline Spatial Field File </w:t>
            </w:r>
          </w:p>
        </w:tc>
        <w:tc>
          <w:tcPr>
            <w:tcW w:w="1885" w:type="dxa"/>
          </w:tcPr>
          <w:p>
            <w:pPr>
              <w:jc w:val="center"/>
            </w:pPr>
            <w:r>
              <w:rPr>
                <w:rFonts w:cs="Times New Roman"/>
                <w:szCs w:val="24"/>
              </w:rPr>
              <w:t>*.csv</w:t>
            </w:r>
          </w:p>
        </w:tc>
        <w:tc>
          <w:tcPr>
            <w:tcW w:w="2828" w:type="dxa"/>
            <w:vAlign w:val="center"/>
          </w:tcPr>
          <w:p>
            <w:pPr>
              <w:jc w:val="center"/>
            </w:pPr>
            <w:r>
              <w:rPr>
                <w:rFonts w:hint="eastAsia" w:cs="Times New Roman"/>
                <w:szCs w:val="24"/>
              </w:rPr>
              <w:t>S</w:t>
            </w:r>
            <w:r>
              <w:rPr>
                <w:rFonts w:cs="Times New Roman"/>
                <w:szCs w:val="24"/>
              </w:rPr>
              <w:t>MAT-CE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3769" w:type="dxa"/>
          </w:tcPr>
          <w:p>
            <w:pPr>
              <w:jc w:val="center"/>
            </w:pPr>
            <w:r>
              <w:rPr>
                <w:rFonts w:cs="Times New Roman"/>
                <w:szCs w:val="24"/>
              </w:rPr>
              <w:t>Baseline Species Spatial Field File</w:t>
            </w:r>
          </w:p>
        </w:tc>
        <w:tc>
          <w:tcPr>
            <w:tcW w:w="1885" w:type="dxa"/>
          </w:tcPr>
          <w:p>
            <w:pPr>
              <w:jc w:val="center"/>
            </w:pPr>
            <w:r>
              <w:rPr>
                <w:rFonts w:cs="Times New Roman"/>
                <w:szCs w:val="24"/>
              </w:rPr>
              <w:t>*.csv</w:t>
            </w:r>
          </w:p>
        </w:tc>
        <w:tc>
          <w:tcPr>
            <w:tcW w:w="2828" w:type="dxa"/>
            <w:vAlign w:val="center"/>
          </w:tcPr>
          <w:p>
            <w:pPr>
              <w:jc w:val="center"/>
            </w:pPr>
            <w:r>
              <w:rPr>
                <w:rFonts w:hint="eastAsia" w:cs="Times New Roman"/>
                <w:szCs w:val="24"/>
              </w:rPr>
              <w:t>S</w:t>
            </w:r>
            <w:r>
              <w:rPr>
                <w:rFonts w:cs="Times New Roman"/>
                <w:szCs w:val="24"/>
              </w:rPr>
              <w:t>MAT-CE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3769" w:type="dxa"/>
          </w:tcPr>
          <w:p>
            <w:pPr>
              <w:jc w:val="center"/>
            </w:pPr>
            <w:r>
              <w:rPr>
                <w:rFonts w:cs="Times New Roman"/>
                <w:szCs w:val="24"/>
              </w:rPr>
              <w:t>Cases &amp; Emission File</w:t>
            </w:r>
          </w:p>
        </w:tc>
        <w:tc>
          <w:tcPr>
            <w:tcW w:w="1885" w:type="dxa"/>
          </w:tcPr>
          <w:p>
            <w:pPr>
              <w:jc w:val="center"/>
            </w:pPr>
            <w:r>
              <w:rPr>
                <w:rFonts w:cs="Times New Roman"/>
                <w:szCs w:val="24"/>
              </w:rPr>
              <w:t>*.csv</w:t>
            </w:r>
          </w:p>
        </w:tc>
        <w:tc>
          <w:tcPr>
            <w:tcW w:w="2828" w:type="dxa"/>
            <w:vAlign w:val="center"/>
          </w:tcPr>
          <w:p>
            <w:pPr>
              <w:jc w:val="center"/>
            </w:pPr>
            <w:r>
              <w:rPr>
                <w:rFonts w:hint="eastAsia" w:cs="Times New Roman"/>
                <w:szCs w:val="24"/>
              </w:rPr>
              <w:t>U</w:t>
            </w:r>
            <w:r>
              <w:rPr>
                <w:rFonts w:cs="Times New Roman"/>
                <w:szCs w:val="24"/>
              </w:rPr>
              <w:t>ser-defined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3769" w:type="dxa"/>
            <w:vAlign w:val="center"/>
          </w:tcPr>
          <w:p>
            <w:pPr>
              <w:jc w:val="center"/>
            </w:pPr>
            <w:r>
              <w:rPr>
                <w:rFonts w:cs="Times New Roman"/>
                <w:szCs w:val="24"/>
              </w:rPr>
              <w:t>Validation Configuration File</w:t>
            </w:r>
          </w:p>
        </w:tc>
        <w:tc>
          <w:tcPr>
            <w:tcW w:w="1885" w:type="dxa"/>
            <w:vAlign w:val="center"/>
          </w:tcPr>
          <w:p>
            <w:pPr>
              <w:jc w:val="center"/>
            </w:pPr>
            <w:r>
              <w:rPr>
                <w:rFonts w:cs="Times New Roman"/>
                <w:szCs w:val="24"/>
              </w:rPr>
              <w:t>*.csv</w:t>
            </w:r>
          </w:p>
        </w:tc>
        <w:tc>
          <w:tcPr>
            <w:tcW w:w="2828" w:type="dxa"/>
            <w:vAlign w:val="center"/>
          </w:tcPr>
          <w:p>
            <w:pPr>
              <w:jc w:val="center"/>
            </w:pPr>
            <w:r>
              <w:rPr>
                <w:rFonts w:hint="eastAsia" w:cs="Times New Roman"/>
                <w:szCs w:val="24"/>
              </w:rPr>
              <w:t>U</w:t>
            </w:r>
            <w:r>
              <w:rPr>
                <w:rFonts w:cs="Times New Roman"/>
                <w:szCs w:val="24"/>
              </w:rPr>
              <w:t>ser-defined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3769" w:type="dxa"/>
            <w:vAlign w:val="center"/>
          </w:tcPr>
          <w:p>
            <w:pPr>
              <w:jc w:val="center"/>
            </w:pPr>
            <w:r>
              <w:rPr>
                <w:rFonts w:cs="Times New Roman"/>
                <w:szCs w:val="24"/>
              </w:rPr>
              <w:t>RSM Input File</w:t>
            </w:r>
          </w:p>
        </w:tc>
        <w:tc>
          <w:tcPr>
            <w:tcW w:w="1885" w:type="dxa"/>
            <w:vAlign w:val="center"/>
          </w:tcPr>
          <w:p>
            <w:pPr>
              <w:jc w:val="center"/>
            </w:pPr>
            <w:r>
              <w:rPr>
                <w:rFonts w:cs="Times New Roman"/>
                <w:szCs w:val="24"/>
              </w:rPr>
              <w:t>*.rsm</w:t>
            </w:r>
          </w:p>
        </w:tc>
        <w:tc>
          <w:tcPr>
            <w:tcW w:w="2828" w:type="dxa"/>
            <w:vAlign w:val="center"/>
          </w:tcPr>
          <w:p>
            <w:pPr>
              <w:jc w:val="center"/>
            </w:pPr>
            <w:r>
              <w:rPr>
                <w:rFonts w:hint="eastAsia" w:cs="Times New Roman"/>
                <w:szCs w:val="24"/>
              </w:rPr>
              <w:t>R</w:t>
            </w:r>
            <w:r>
              <w:rPr>
                <w:rFonts w:cs="Times New Roman"/>
                <w:szCs w:val="24"/>
              </w:rPr>
              <w:t>SM-VAT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3769" w:type="dxa"/>
            <w:vAlign w:val="center"/>
          </w:tcPr>
          <w:p>
            <w:pPr>
              <w:jc w:val="center"/>
            </w:pPr>
            <w:r>
              <w:rPr>
                <w:rFonts w:cs="Times New Roman"/>
                <w:szCs w:val="24"/>
              </w:rPr>
              <w:t>Emission Matrix File</w:t>
            </w:r>
          </w:p>
        </w:tc>
        <w:tc>
          <w:tcPr>
            <w:tcW w:w="1885" w:type="dxa"/>
            <w:vAlign w:val="center"/>
          </w:tcPr>
          <w:p>
            <w:pPr>
              <w:jc w:val="center"/>
            </w:pPr>
            <w:r>
              <w:rPr>
                <w:rFonts w:cs="Times New Roman"/>
                <w:szCs w:val="24"/>
              </w:rPr>
              <w:t>*.csv</w:t>
            </w:r>
          </w:p>
        </w:tc>
        <w:tc>
          <w:tcPr>
            <w:tcW w:w="2828" w:type="dxa"/>
            <w:vAlign w:val="center"/>
          </w:tcPr>
          <w:p>
            <w:pPr>
              <w:jc w:val="center"/>
            </w:pPr>
            <w:r>
              <w:rPr>
                <w:rFonts w:hint="eastAsia" w:cs="Times New Roman"/>
                <w:szCs w:val="24"/>
              </w:rPr>
              <w:t>U</w:t>
            </w:r>
            <w:r>
              <w:rPr>
                <w:rFonts w:cs="Times New Roman"/>
                <w:szCs w:val="24"/>
              </w:rPr>
              <w:t>ser-defined</w:t>
            </w:r>
          </w:p>
        </w:tc>
      </w:tr>
    </w:tbl>
    <w:p>
      <w:pPr>
        <w:spacing w:line="360" w:lineRule="auto"/>
      </w:pPr>
    </w:p>
    <w:p>
      <w:pPr>
        <w:pStyle w:val="2"/>
        <w:spacing w:line="360" w:lineRule="auto"/>
      </w:pPr>
      <w:bookmarkStart w:id="64" w:name="_Toc122982052"/>
      <w:r>
        <w:t>Quick Start</w:t>
      </w:r>
      <w:bookmarkEnd w:id="64"/>
    </w:p>
    <w:p>
      <w:pPr>
        <w:spacing w:line="360" w:lineRule="auto"/>
      </w:pPr>
      <w:r>
        <w:t xml:space="preserve">This chapter provides the steps required to run </w:t>
      </w:r>
      <w:r>
        <w:rPr>
          <w:rFonts w:hint="eastAsia"/>
        </w:rPr>
        <w:t>FAST</w:t>
      </w:r>
      <w:r>
        <w:t xml:space="preserve">-CE for various analyses. The Quick Start will use EPA’s Affordable Clean Energy (ACE) data set to demonstrate how to run each of the FAST-CE analysis modules. These steps will use the default settings and do not describe the configuration settings for each analysis. For details of the configuration settings for the individual </w:t>
      </w:r>
      <w:r>
        <w:rPr>
          <w:rFonts w:hint="eastAsia"/>
        </w:rPr>
        <w:t>FAST</w:t>
      </w:r>
      <w:r>
        <w:t xml:space="preserve">-CE modules, refer to the User’s Guide chapter for each module. </w:t>
      </w:r>
    </w:p>
    <w:p>
      <w:pPr>
        <w:pStyle w:val="3"/>
        <w:rPr>
          <w:rStyle w:val="61"/>
        </w:rPr>
      </w:pPr>
      <w:bookmarkStart w:id="65" w:name="_Toc122982053"/>
      <w:r>
        <w:rPr>
          <w:rStyle w:val="61"/>
        </w:rPr>
        <w:t>Load a Previous Project</w:t>
      </w:r>
      <w:bookmarkEnd w:id="65"/>
    </w:p>
    <w:p>
      <w:pPr>
        <w:spacing w:line="360" w:lineRule="auto"/>
        <w:rPr>
          <w:rStyle w:val="62"/>
        </w:rPr>
      </w:pPr>
      <w:r>
        <w:rPr>
          <w:rStyle w:val="62"/>
        </w:rPr>
        <w:t>Click File</w:t>
      </w:r>
      <w:r>
        <w:rPr>
          <w:rStyle w:val="62"/>
          <w:rFonts w:hint="eastAsia"/>
        </w:rPr>
        <w:t>→</w:t>
      </w:r>
      <w:r>
        <w:rPr>
          <w:rStyle w:val="62"/>
          <w:rFonts w:hint="eastAsia"/>
          <w:b/>
          <w:bCs/>
        </w:rPr>
        <w:t>Open</w:t>
      </w:r>
      <w:r>
        <w:rPr>
          <w:rStyle w:val="62"/>
          <w:b/>
          <w:bCs/>
        </w:rPr>
        <w:t xml:space="preserve"> Project</w:t>
      </w:r>
      <w:r>
        <w:rPr>
          <w:rStyle w:val="62"/>
        </w:rPr>
        <w:t xml:space="preserve"> on the FAST-CE Home Page to launch a Windows Explorer window. Use this window to navigate to the directory where FAST-CE project (*. proj) files are saved to load a previous project.</w:t>
      </w:r>
    </w:p>
    <w:p>
      <w:pPr>
        <w:keepNext/>
        <w:spacing w:line="360" w:lineRule="auto"/>
        <w:ind w:firstLine="240"/>
      </w:pPr>
      <w:r>
        <w:drawing>
          <wp:inline distT="0" distB="0" distL="0" distR="0">
            <wp:extent cx="5274310" cy="3902710"/>
            <wp:effectExtent l="0" t="0" r="254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22"/>
                    <a:stretch>
                      <a:fillRect/>
                    </a:stretch>
                  </pic:blipFill>
                  <pic:spPr>
                    <a:xfrm>
                      <a:off x="0" y="0"/>
                      <a:ext cx="5274310" cy="3902710"/>
                    </a:xfrm>
                    <a:prstGeom prst="rect">
                      <a:avLst/>
                    </a:prstGeom>
                  </pic:spPr>
                </pic:pic>
              </a:graphicData>
            </a:graphic>
          </wp:inline>
        </w:drawing>
      </w:r>
    </w:p>
    <w:p>
      <w:pPr>
        <w:pStyle w:val="11"/>
        <w:spacing w:line="360" w:lineRule="auto"/>
        <w:ind w:firstLine="240"/>
      </w:pPr>
      <w:bookmarkStart w:id="66" w:name="_Toc122982105"/>
      <w:r>
        <w:t xml:space="preserve">Figure </w:t>
      </w:r>
      <w:r>
        <w:fldChar w:fldCharType="begin"/>
      </w:r>
      <w:r>
        <w:instrText xml:space="preserve"> SEQ Fig. \* ARABIC </w:instrText>
      </w:r>
      <w:r>
        <w:fldChar w:fldCharType="separate"/>
      </w:r>
      <w:r>
        <w:t>10</w:t>
      </w:r>
      <w:r>
        <w:fldChar w:fldCharType="end"/>
      </w:r>
      <w:r>
        <w:t>. Load a previous project</w:t>
      </w:r>
      <w:bookmarkEnd w:id="66"/>
    </w:p>
    <w:p>
      <w:pPr>
        <w:spacing w:line="360" w:lineRule="auto"/>
      </w:pPr>
    </w:p>
    <w:p>
      <w:pPr>
        <w:pStyle w:val="3"/>
      </w:pPr>
      <w:bookmarkStart w:id="67" w:name="_Toc122982054"/>
      <w:r>
        <w:rPr>
          <w:rFonts w:hint="eastAsia"/>
        </w:rPr>
        <w:t>P</w:t>
      </w:r>
      <w:r>
        <w:t xml:space="preserve">M </w:t>
      </w:r>
      <w:r>
        <w:rPr>
          <w:rFonts w:hint="eastAsia"/>
        </w:rPr>
        <w:t>Analysis</w:t>
      </w:r>
      <w:r>
        <w:t xml:space="preserve"> </w:t>
      </w:r>
      <w:r>
        <w:rPr>
          <w:rFonts w:hint="eastAsia"/>
        </w:rPr>
        <w:t>Quick</w:t>
      </w:r>
      <w:r>
        <w:t xml:space="preserve"> </w:t>
      </w:r>
      <w:r>
        <w:rPr>
          <w:rFonts w:hint="eastAsia"/>
        </w:rPr>
        <w:t>Start</w:t>
      </w:r>
      <w:bookmarkEnd w:id="67"/>
    </w:p>
    <w:p>
      <w:pPr>
        <w:spacing w:line="360" w:lineRule="auto"/>
      </w:pPr>
      <w:r>
        <w:t>The steps below describe how to use FAST-CE to conduct source contributions and create SMAT-CE air quality surface flexibly and in real-time for PM</w:t>
      </w:r>
      <w:r>
        <w:rPr>
          <w:vertAlign w:val="subscript"/>
        </w:rPr>
        <w:t>2.5</w:t>
      </w:r>
      <w:r>
        <w:t xml:space="preserve">. </w:t>
      </w:r>
    </w:p>
    <w:p>
      <w:pPr>
        <w:spacing w:line="360" w:lineRule="auto"/>
      </w:pPr>
    </w:p>
    <w:p>
      <w:pPr>
        <w:spacing w:line="360" w:lineRule="auto"/>
      </w:pPr>
      <w:r>
        <w:rPr>
          <w:b/>
          <w:bCs/>
          <w:u w:val="single"/>
        </w:rPr>
        <w:t>Step 1.</w:t>
      </w:r>
      <w:r>
        <w:t xml:space="preserve"> Click </w:t>
      </w:r>
      <w:r>
        <w:rPr>
          <w:b/>
          <w:bCs/>
        </w:rPr>
        <w:t>Analysis</w:t>
      </w:r>
      <w:r>
        <w:rPr>
          <w:rFonts w:hint="eastAsia"/>
          <w:b/>
          <w:bCs/>
        </w:rPr>
        <w:t>→</w:t>
      </w:r>
      <w:r>
        <w:rPr>
          <w:b/>
          <w:bCs/>
        </w:rPr>
        <w:t xml:space="preserve">PM </w:t>
      </w:r>
      <w:r>
        <w:t xml:space="preserve">menu on the </w:t>
      </w:r>
      <w:r>
        <w:rPr>
          <w:rFonts w:hint="eastAsia"/>
        </w:rPr>
        <w:t>top</w:t>
      </w:r>
      <w:r>
        <w:t xml:space="preserve"> of FAST-CE Home Page to launch the PM Analysis module window.</w:t>
      </w:r>
    </w:p>
    <w:p>
      <w:pPr>
        <w:spacing w:line="360" w:lineRule="auto"/>
      </w:pPr>
    </w:p>
    <w:p>
      <w:pPr>
        <w:spacing w:line="360" w:lineRule="auto"/>
        <w:rPr>
          <w:rFonts w:eastAsia="Times New Roman"/>
        </w:rPr>
      </w:pPr>
      <w:r>
        <w:rPr>
          <w:b/>
          <w:bCs/>
          <w:u w:val="single"/>
        </w:rPr>
        <w:t>Step 2.</w:t>
      </w:r>
      <w:r>
        <w:t xml:space="preserve"> The </w:t>
      </w:r>
      <w:r>
        <w:rPr>
          <w:b/>
          <w:bCs/>
        </w:rPr>
        <w:t>Source Contribution Method Option</w:t>
      </w:r>
      <w:r>
        <w:t xml:space="preserve"> window display first. This window sets the source contribution method (e.g., OSAT/PSAT/APCA/ISAM), data input types (e.g., monthly), input files of selected source contribution method, receptor region file and mapping file for PM</w:t>
      </w:r>
      <w:r>
        <w:rPr>
          <w:vertAlign w:val="subscript"/>
        </w:rPr>
        <w:t>2.5</w:t>
      </w:r>
      <w:r>
        <w:t xml:space="preserve"> analysis. FAST-CE </w:t>
      </w:r>
      <w:r>
        <w:rPr>
          <w:rFonts w:eastAsia="Times New Roman"/>
        </w:rPr>
        <w:t>calculates fraction contribution for each tag in each grid-cell based on the input files.</w:t>
      </w:r>
    </w:p>
    <w:p>
      <w:pPr>
        <w:spacing w:line="360" w:lineRule="auto"/>
        <w:rPr>
          <w:rFonts w:eastAsia="Times New Roman"/>
        </w:rPr>
      </w:pPr>
    </w:p>
    <w:p>
      <w:pPr>
        <w:spacing w:line="360" w:lineRule="auto"/>
        <w:rPr>
          <w:rStyle w:val="62"/>
        </w:rPr>
      </w:pPr>
      <w:r>
        <w:rPr>
          <w:rStyle w:val="62"/>
        </w:rPr>
        <w:t xml:space="preserve">Use the default settings in the </w:t>
      </w:r>
      <w:r>
        <w:rPr>
          <w:b/>
          <w:bCs/>
        </w:rPr>
        <w:t>Source Contribution Method Option</w:t>
      </w:r>
      <w:r>
        <w:rPr>
          <w:rStyle w:val="62"/>
        </w:rPr>
        <w:t xml:space="preserve"> window.</w:t>
      </w:r>
    </w:p>
    <w:p>
      <w:pPr>
        <w:spacing w:line="360" w:lineRule="auto"/>
      </w:pPr>
    </w:p>
    <w:p>
      <w:pPr>
        <w:pStyle w:val="65"/>
        <w:spacing w:line="360" w:lineRule="auto"/>
        <w:rPr>
          <w:rStyle w:val="62"/>
        </w:rPr>
      </w:pPr>
      <w:r>
        <w:rPr>
          <w:rStyle w:val="62"/>
        </w:rPr>
        <w:t xml:space="preserve">Click on the </w:t>
      </w:r>
      <w:r>
        <w:rPr>
          <w:rStyle w:val="62"/>
          <w:b/>
          <w:bCs/>
          <w:color w:val="0432FF"/>
          <w:u w:val="single"/>
        </w:rPr>
        <w:t>Source Contribution Method Option</w:t>
      </w:r>
      <w:r>
        <w:rPr>
          <w:rStyle w:val="62"/>
          <w:color w:val="1F497D"/>
        </w:rPr>
        <w:t xml:space="preserve"> </w:t>
      </w:r>
      <w:r>
        <w:rPr>
          <w:rStyle w:val="62"/>
        </w:rPr>
        <w:t>hyperlink to display an electronic version of the User’s Manual for this window.</w:t>
      </w:r>
    </w:p>
    <w:p>
      <w:pPr>
        <w:spacing w:line="360" w:lineRule="auto"/>
        <w:rPr>
          <w:rStyle w:val="62"/>
        </w:rPr>
      </w:pPr>
      <w:r>
        <w:rPr>
          <w:rStyle w:val="62"/>
          <w:b/>
          <w:bCs/>
        </w:rPr>
        <w:t xml:space="preserve">Source Contribution Method. </w:t>
      </w:r>
      <w:r>
        <w:rPr>
          <w:rStyle w:val="62"/>
        </w:rPr>
        <w:t xml:space="preserve">Sets the </w:t>
      </w:r>
      <w:r>
        <w:rPr>
          <w:rStyle w:val="62"/>
          <w:rFonts w:hint="eastAsia"/>
        </w:rPr>
        <w:t>source</w:t>
      </w:r>
      <w:r>
        <w:rPr>
          <w:rStyle w:val="62"/>
        </w:rPr>
        <w:t xml:space="preserve"> </w:t>
      </w:r>
      <w:r>
        <w:t xml:space="preserve">contribution method. There are </w:t>
      </w:r>
      <w:r>
        <w:rPr>
          <w:rStyle w:val="62"/>
        </w:rPr>
        <w:t xml:space="preserve">three sets of </w:t>
      </w:r>
      <w:r>
        <w:rPr>
          <w:rStyle w:val="62"/>
          <w:rFonts w:hint="eastAsia"/>
        </w:rPr>
        <w:t>source</w:t>
      </w:r>
      <w:r>
        <w:rPr>
          <w:rStyle w:val="62"/>
        </w:rPr>
        <w:t xml:space="preserve"> contribution methods for users to select. </w:t>
      </w:r>
      <w:r>
        <w:rPr>
          <w:rStyle w:val="62"/>
          <w:rFonts w:hint="eastAsia"/>
        </w:rPr>
        <w:t>The</w:t>
      </w:r>
      <w:r>
        <w:rPr>
          <w:rStyle w:val="62"/>
        </w:rPr>
        <w:t xml:space="preserve"> default selected is OSAT/PSAT/APCA/ISAM.</w:t>
      </w:r>
    </w:p>
    <w:p>
      <w:pPr>
        <w:spacing w:line="360" w:lineRule="auto"/>
        <w:rPr>
          <w:rStyle w:val="62"/>
        </w:rPr>
      </w:pPr>
    </w:p>
    <w:p>
      <w:pPr>
        <w:spacing w:line="360" w:lineRule="auto"/>
        <w:rPr>
          <w:rStyle w:val="62"/>
        </w:rPr>
      </w:pPr>
      <w:r>
        <w:rPr>
          <w:rStyle w:val="62"/>
          <w:rFonts w:hint="eastAsia"/>
          <w:b/>
          <w:bCs/>
        </w:rPr>
        <w:t>D</w:t>
      </w:r>
      <w:r>
        <w:rPr>
          <w:rStyle w:val="62"/>
          <w:b/>
          <w:bCs/>
        </w:rPr>
        <w:t xml:space="preserve">ata Input Types: </w:t>
      </w:r>
      <w:r>
        <w:rPr>
          <w:rStyle w:val="62"/>
        </w:rPr>
        <w:t>Sets the data type of input files. It provides three options: Daily, Monthly and Annual.</w:t>
      </w:r>
    </w:p>
    <w:p>
      <w:pPr>
        <w:spacing w:line="360" w:lineRule="auto"/>
        <w:rPr>
          <w:rStyle w:val="62"/>
        </w:rPr>
      </w:pPr>
    </w:p>
    <w:p>
      <w:pPr>
        <w:spacing w:line="360" w:lineRule="auto"/>
        <w:rPr>
          <w:rFonts w:eastAsia="Times New Roman"/>
        </w:rPr>
      </w:pPr>
      <w:r>
        <w:rPr>
          <w:rStyle w:val="62"/>
          <w:rFonts w:hint="eastAsia"/>
          <w:b/>
          <w:bCs/>
        </w:rPr>
        <w:t>D</w:t>
      </w:r>
      <w:r>
        <w:rPr>
          <w:rStyle w:val="62"/>
          <w:b/>
          <w:bCs/>
        </w:rPr>
        <w:t>ata Input File:</w:t>
      </w:r>
      <w:r>
        <w:rPr>
          <w:rStyle w:val="62"/>
        </w:rPr>
        <w:t xml:space="preserve"> For OSAT/PSAT/APCA/ISAM option, sets the </w:t>
      </w:r>
      <w:r>
        <w:rPr>
          <w:rFonts w:eastAsia="Times New Roman"/>
        </w:rPr>
        <w:t>SA tags IOAPI files (e.g., inputs 12 monthly PM</w:t>
      </w:r>
      <w:r>
        <w:rPr>
          <w:rFonts w:eastAsia="Times New Roman"/>
          <w:vertAlign w:val="subscript"/>
        </w:rPr>
        <w:t>2.5</w:t>
      </w:r>
      <w:r>
        <w:rPr>
          <w:rFonts w:eastAsia="Times New Roman"/>
        </w:rPr>
        <w:t xml:space="preserve"> </w:t>
      </w:r>
      <w:r>
        <w:rPr>
          <w:rStyle w:val="62"/>
          <w:rFonts w:hint="eastAsia"/>
        </w:rPr>
        <w:t>Source</w:t>
      </w:r>
      <w:r>
        <w:rPr>
          <w:rStyle w:val="62"/>
        </w:rPr>
        <w:t xml:space="preserve"> Appointment (SA) tag files for Monthly option specified in Data Input Types</w:t>
      </w:r>
      <w:r>
        <w:rPr>
          <w:rFonts w:eastAsia="Times New Roman"/>
        </w:rPr>
        <w:t>). For RSM option, sets the rsm file (*.rsm) that contains the response parameters between emission and air quality.</w:t>
      </w:r>
    </w:p>
    <w:p>
      <w:pPr>
        <w:spacing w:line="360" w:lineRule="auto"/>
        <w:rPr>
          <w:rFonts w:eastAsia="Times New Roman"/>
        </w:rPr>
      </w:pPr>
    </w:p>
    <w:p>
      <w:pPr>
        <w:spacing w:line="360" w:lineRule="auto"/>
        <w:rPr>
          <w:rStyle w:val="62"/>
        </w:rPr>
      </w:pPr>
      <w:r>
        <w:rPr>
          <w:rStyle w:val="62"/>
          <w:b/>
          <w:bCs/>
        </w:rPr>
        <w:t xml:space="preserve">Receptor Region File: </w:t>
      </w:r>
      <w:r>
        <w:rPr>
          <w:rStyle w:val="62"/>
        </w:rPr>
        <w:t>Sets the information of grid cells that located in those regions of interest.</w:t>
      </w:r>
    </w:p>
    <w:p>
      <w:pPr>
        <w:spacing w:line="360" w:lineRule="auto"/>
        <w:rPr>
          <w:rStyle w:val="62"/>
        </w:rPr>
      </w:pPr>
    </w:p>
    <w:p>
      <w:pPr>
        <w:spacing w:line="360" w:lineRule="auto"/>
        <w:rPr>
          <w:rStyle w:val="62"/>
        </w:rPr>
      </w:pPr>
      <w:r>
        <w:rPr>
          <w:rStyle w:val="62"/>
          <w:b/>
          <w:bCs/>
        </w:rPr>
        <w:t>Mapping File:</w:t>
      </w:r>
      <w:r>
        <w:rPr>
          <w:rStyle w:val="62"/>
        </w:rPr>
        <w:t xml:space="preserve"> Only for OSAT/PSAT/APCA/ISAM option. Sets a mapping between the variables in </w:t>
      </w:r>
      <w:r>
        <w:rPr>
          <w:rStyle w:val="62"/>
          <w:rFonts w:hint="eastAsia"/>
        </w:rPr>
        <w:t>Source</w:t>
      </w:r>
      <w:r>
        <w:rPr>
          <w:rStyle w:val="62"/>
        </w:rPr>
        <w:t xml:space="preserve"> Appointment (SA) tag files and the variables in emission file.</w:t>
      </w:r>
    </w:p>
    <w:p>
      <w:pPr>
        <w:pStyle w:val="65"/>
        <w:spacing w:line="360" w:lineRule="auto"/>
        <w:rPr>
          <w:rStyle w:val="62"/>
        </w:rPr>
      </w:pPr>
      <w:r>
        <w:rPr>
          <w:rStyle w:val="62"/>
        </w:rPr>
        <w:t xml:space="preserve">Click the </w:t>
      </w:r>
      <w:r>
        <w:rPr>
          <w:rStyle w:val="62"/>
          <w:b/>
          <w:bCs/>
        </w:rPr>
        <w:t>Next</w:t>
      </w:r>
      <w:r>
        <w:rPr>
          <w:rStyle w:val="62"/>
        </w:rPr>
        <w:t xml:space="preserve"> arrow at the bottom right of the</w:t>
      </w:r>
      <w:r>
        <w:rPr>
          <w:b/>
          <w:bCs/>
        </w:rPr>
        <w:t xml:space="preserve"> Source Contribution Method Option</w:t>
      </w:r>
      <w:r>
        <w:rPr>
          <w:rStyle w:val="62"/>
        </w:rPr>
        <w:t xml:space="preserve"> window to proceed to the next step.</w:t>
      </w:r>
    </w:p>
    <w:p>
      <w:pPr>
        <w:spacing w:line="360" w:lineRule="auto"/>
      </w:pPr>
      <w:r>
        <w:rPr>
          <w:b/>
          <w:bCs/>
          <w:u w:val="single"/>
        </w:rPr>
        <w:t>Step 3.</w:t>
      </w:r>
      <w:r>
        <w:t xml:space="preserve"> The </w:t>
      </w:r>
      <w:r>
        <w:rPr>
          <w:b/>
          <w:bCs/>
        </w:rPr>
        <w:t>Emission &amp; Spatial Field Input Option</w:t>
      </w:r>
      <w:r>
        <w:t xml:space="preserve"> window sets the baseline spatial field files and emission files. FAST-CE multiplies the baseline spatial field data by fractional contribution for each tag that calculated in last s</w:t>
      </w:r>
      <w:r>
        <w:rPr>
          <w:rFonts w:hint="eastAsia"/>
        </w:rPr>
        <w:t>tep</w:t>
      </w:r>
      <w:r>
        <w:t xml:space="preserve">, and then </w:t>
      </w:r>
      <w:r>
        <w:rPr>
          <w:rFonts w:hint="eastAsia"/>
        </w:rPr>
        <w:t>multi</w:t>
      </w:r>
      <w:r>
        <w:t xml:space="preserve">plies the appropriate emission ratio from emission files to create a scaled contribution tag fields, then finally sums up all scaled contribution tag fields to output future scenario </w:t>
      </w:r>
      <w:r>
        <w:rPr>
          <w:rFonts w:hint="eastAsia"/>
        </w:rPr>
        <w:t>spatial</w:t>
      </w:r>
      <w:r>
        <w:t xml:space="preserve"> </w:t>
      </w:r>
      <w:r>
        <w:rPr>
          <w:rFonts w:hint="eastAsia"/>
        </w:rPr>
        <w:t>field</w:t>
      </w:r>
      <w:r>
        <w:t xml:space="preserve"> data (including quarterly&amp; annual for PM). </w:t>
      </w:r>
    </w:p>
    <w:p>
      <w:pPr>
        <w:spacing w:line="360" w:lineRule="auto"/>
      </w:pPr>
    </w:p>
    <w:p>
      <w:pPr>
        <w:spacing w:line="360" w:lineRule="auto"/>
      </w:pPr>
      <w:r>
        <w:rPr>
          <w:rStyle w:val="62"/>
        </w:rPr>
        <w:t xml:space="preserve">Use the default settings in the </w:t>
      </w:r>
      <w:r>
        <w:rPr>
          <w:b/>
          <w:bCs/>
        </w:rPr>
        <w:t>Source Contribution Method Option</w:t>
      </w:r>
      <w:r>
        <w:rPr>
          <w:rStyle w:val="62"/>
        </w:rPr>
        <w:t xml:space="preserve"> window.</w:t>
      </w:r>
    </w:p>
    <w:p>
      <w:pPr>
        <w:pStyle w:val="65"/>
        <w:spacing w:line="360" w:lineRule="auto"/>
        <w:rPr>
          <w:rStyle w:val="62"/>
        </w:rPr>
      </w:pPr>
      <w:r>
        <w:rPr>
          <w:rStyle w:val="62"/>
        </w:rPr>
        <w:t xml:space="preserve">Click on the </w:t>
      </w:r>
      <w:r>
        <w:rPr>
          <w:rStyle w:val="62"/>
          <w:b/>
          <w:bCs/>
          <w:color w:val="0432FF"/>
          <w:u w:val="single"/>
        </w:rPr>
        <w:t>Emission &amp; Spatial Field Input Option</w:t>
      </w:r>
      <w:r>
        <w:rPr>
          <w:rStyle w:val="62"/>
          <w:color w:val="1F497D"/>
        </w:rPr>
        <w:t xml:space="preserve"> </w:t>
      </w:r>
      <w:r>
        <w:rPr>
          <w:rStyle w:val="62"/>
        </w:rPr>
        <w:t>hyperlink to display an electronic version of the User’s Manual for this window.</w:t>
      </w:r>
    </w:p>
    <w:p>
      <w:pPr>
        <w:pStyle w:val="65"/>
        <w:spacing w:line="360" w:lineRule="auto"/>
        <w:rPr>
          <w:rStyle w:val="62"/>
          <w:b/>
          <w:bCs/>
        </w:rPr>
      </w:pPr>
      <w:r>
        <w:rPr>
          <w:rStyle w:val="62"/>
          <w:rFonts w:hint="eastAsia"/>
          <w:b/>
          <w:bCs/>
        </w:rPr>
        <w:t>I</w:t>
      </w:r>
      <w:r>
        <w:rPr>
          <w:rStyle w:val="62"/>
          <w:b/>
          <w:bCs/>
        </w:rPr>
        <w:t>nclude PM Species.</w:t>
      </w:r>
      <w:r>
        <w:rPr>
          <w:rStyle w:val="62"/>
        </w:rPr>
        <w:t xml:space="preserve"> Inputs the baseline quarterly PM</w:t>
      </w:r>
      <w:r>
        <w:rPr>
          <w:rStyle w:val="62"/>
          <w:vertAlign w:val="subscript"/>
        </w:rPr>
        <w:t>2.5</w:t>
      </w:r>
      <w:r>
        <w:rPr>
          <w:rStyle w:val="62"/>
        </w:rPr>
        <w:t xml:space="preserve"> spatial field that created by SMAT-CE (e.g., xxx Quarterly PM25 Spatial Field (eVNA).csv, “xxx” represents the project name of SMAT-CE) when this option is checked. Or sets the baseline air quality surface by users when this option is not checked.</w:t>
      </w:r>
    </w:p>
    <w:p>
      <w:pPr>
        <w:pStyle w:val="65"/>
        <w:spacing w:line="360" w:lineRule="auto"/>
        <w:rPr>
          <w:rStyle w:val="62"/>
          <w:b/>
          <w:bCs/>
        </w:rPr>
      </w:pPr>
      <w:r>
        <w:rPr>
          <w:rStyle w:val="62"/>
          <w:rFonts w:hint="eastAsia"/>
          <w:b/>
          <w:bCs/>
        </w:rPr>
        <w:t>S</w:t>
      </w:r>
      <w:r>
        <w:rPr>
          <w:rStyle w:val="62"/>
          <w:b/>
          <w:bCs/>
        </w:rPr>
        <w:t xml:space="preserve">MAT-CE adjustment. </w:t>
      </w:r>
      <w:r>
        <w:rPr>
          <w:rStyle w:val="62"/>
        </w:rPr>
        <w:t xml:space="preserve">Only for </w:t>
      </w:r>
      <w:r>
        <w:rPr>
          <w:rStyle w:val="62"/>
          <w:b/>
          <w:bCs/>
        </w:rPr>
        <w:t>Include PM Species</w:t>
      </w:r>
      <w:r>
        <w:rPr>
          <w:rStyle w:val="62"/>
        </w:rPr>
        <w:t xml:space="preserve"> option, sets the baseline quarterly species fraction spatial field that created by SMAT-CE (e.g.,   xxx Quarterly Avg Spec Frac Spatial Field (eVNA).csv, “xxx” represents the project name of SMAT-CE).</w:t>
      </w:r>
    </w:p>
    <w:p>
      <w:pPr>
        <w:pStyle w:val="65"/>
        <w:spacing w:line="360" w:lineRule="auto"/>
        <w:rPr>
          <w:b/>
          <w:bCs/>
        </w:rPr>
      </w:pPr>
      <w:r>
        <w:rPr>
          <w:rFonts w:hint="eastAsia"/>
          <w:b/>
          <w:bCs/>
        </w:rPr>
        <w:t>I</w:t>
      </w:r>
      <w:r>
        <w:rPr>
          <w:b/>
          <w:bCs/>
        </w:rPr>
        <w:t xml:space="preserve">nput Cases &amp; Emissions Files. </w:t>
      </w:r>
      <w:r>
        <w:t>Inputs the emissions configuration file that set up one or more control cases and provide corresponding emissions data files.</w:t>
      </w:r>
    </w:p>
    <w:p>
      <w:pPr>
        <w:pStyle w:val="65"/>
        <w:spacing w:line="360" w:lineRule="auto"/>
        <w:rPr>
          <w:rStyle w:val="62"/>
        </w:rPr>
      </w:pPr>
      <w:r>
        <w:rPr>
          <w:rStyle w:val="62"/>
        </w:rPr>
        <w:t xml:space="preserve">Click the </w:t>
      </w:r>
      <w:r>
        <w:rPr>
          <w:rStyle w:val="62"/>
          <w:b/>
          <w:bCs/>
        </w:rPr>
        <w:t>Next</w:t>
      </w:r>
      <w:r>
        <w:rPr>
          <w:rStyle w:val="62"/>
        </w:rPr>
        <w:t xml:space="preserve"> arrow at the bottom right of the </w:t>
      </w:r>
      <w:r>
        <w:rPr>
          <w:rStyle w:val="62"/>
          <w:b/>
          <w:bCs/>
        </w:rPr>
        <w:t>Emission &amp; Spatial Field Input Option</w:t>
      </w:r>
      <w:r>
        <w:rPr>
          <w:rStyle w:val="62"/>
        </w:rPr>
        <w:t xml:space="preserve"> window to proceed to the next step.</w:t>
      </w:r>
    </w:p>
    <w:p>
      <w:pPr>
        <w:spacing w:line="360" w:lineRule="auto"/>
      </w:pPr>
      <w:r>
        <w:rPr>
          <w:b/>
          <w:bCs/>
          <w:u w:val="single"/>
        </w:rPr>
        <w:t>Step 4.</w:t>
      </w:r>
      <w:r>
        <w:t xml:space="preserve"> The </w:t>
      </w:r>
      <w:r>
        <w:rPr>
          <w:b/>
          <w:bCs/>
        </w:rPr>
        <w:t>QA/Validation Input Option</w:t>
      </w:r>
      <w:r>
        <w:t xml:space="preserve"> window sets the validation configuration file. </w:t>
      </w:r>
      <w:r>
        <w:rPr>
          <w:rFonts w:hint="eastAsia"/>
        </w:rPr>
        <w:t>This</w:t>
      </w:r>
      <w:r>
        <w:t xml:space="preserve"> step is optional, and the default is checked. </w:t>
      </w:r>
      <w:r>
        <w:rPr>
          <w:rStyle w:val="62"/>
        </w:rPr>
        <w:t xml:space="preserve">For OSAT/PSAT/APCA/ISAM option </w:t>
      </w:r>
      <w:r>
        <w:t xml:space="preserve">specified in the </w:t>
      </w:r>
      <w:r>
        <w:rPr>
          <w:b/>
          <w:bCs/>
        </w:rPr>
        <w:t>Step 2</w:t>
      </w:r>
      <w:r>
        <w:rPr>
          <w:rStyle w:val="62"/>
        </w:rPr>
        <w:t xml:space="preserve">, this option validates the FAST-CE results with SMAT-CE results. For RSM option </w:t>
      </w:r>
      <w:r>
        <w:t xml:space="preserve">specified in the </w:t>
      </w:r>
      <w:r>
        <w:rPr>
          <w:b/>
          <w:bCs/>
        </w:rPr>
        <w:t xml:space="preserve">Step 2, </w:t>
      </w:r>
      <w:r>
        <w:t>this option verifies RSM predictions with those CMAQ simulations that not included in RSM creation.</w:t>
      </w:r>
    </w:p>
    <w:p>
      <w:pPr>
        <w:spacing w:line="360" w:lineRule="auto"/>
      </w:pPr>
    </w:p>
    <w:p>
      <w:pPr>
        <w:spacing w:line="360" w:lineRule="auto"/>
      </w:pPr>
      <w:r>
        <w:rPr>
          <w:rStyle w:val="62"/>
        </w:rPr>
        <w:t>Use the default settings in the QA/Validation Input Option window.</w:t>
      </w:r>
    </w:p>
    <w:p>
      <w:pPr>
        <w:pStyle w:val="65"/>
        <w:spacing w:line="360" w:lineRule="auto"/>
      </w:pPr>
      <w:r>
        <w:rPr>
          <w:rStyle w:val="62"/>
        </w:rPr>
        <w:t xml:space="preserve">Click on the </w:t>
      </w:r>
      <w:r>
        <w:rPr>
          <w:rStyle w:val="62"/>
          <w:b/>
          <w:bCs/>
          <w:color w:val="0432FF"/>
          <w:u w:val="single"/>
        </w:rPr>
        <w:t>QA/Validation Input Option</w:t>
      </w:r>
      <w:r>
        <w:rPr>
          <w:rStyle w:val="62"/>
          <w:b/>
          <w:bCs/>
          <w:color w:val="0432FF"/>
        </w:rPr>
        <w:t xml:space="preserve"> </w:t>
      </w:r>
      <w:r>
        <w:rPr>
          <w:rStyle w:val="62"/>
        </w:rPr>
        <w:t>hyperlink to display an electronic version of the User’s Manual for this window.</w:t>
      </w:r>
    </w:p>
    <w:p>
      <w:pPr>
        <w:pStyle w:val="65"/>
        <w:spacing w:line="360" w:lineRule="auto"/>
      </w:pPr>
      <w:r>
        <w:rPr>
          <w:rStyle w:val="62"/>
        </w:rPr>
        <w:t xml:space="preserve">Click the </w:t>
      </w:r>
      <w:r>
        <w:rPr>
          <w:rStyle w:val="62"/>
          <w:b/>
          <w:bCs/>
        </w:rPr>
        <w:t>Next</w:t>
      </w:r>
      <w:r>
        <w:rPr>
          <w:rStyle w:val="62"/>
        </w:rPr>
        <w:t xml:space="preserve"> arrow at the bottom right of the </w:t>
      </w:r>
      <w:r>
        <w:rPr>
          <w:b/>
          <w:bCs/>
        </w:rPr>
        <w:t>QA/Validation Input Option</w:t>
      </w:r>
      <w:r>
        <w:rPr>
          <w:rStyle w:val="62"/>
        </w:rPr>
        <w:t xml:space="preserve"> window to complete the PM Analysis configuration and run the FAST-CE project.</w:t>
      </w:r>
    </w:p>
    <w:p>
      <w:pPr>
        <w:pStyle w:val="65"/>
        <w:spacing w:line="360" w:lineRule="auto"/>
      </w:pPr>
      <w:r>
        <w:rPr>
          <w:rStyle w:val="62"/>
        </w:rPr>
        <w:t>Click</w:t>
      </w:r>
      <w:r>
        <w:rPr>
          <w:rStyle w:val="62"/>
          <w:b/>
          <w:bCs/>
        </w:rPr>
        <w:t xml:space="preserve"> OK </w:t>
      </w:r>
      <w:r>
        <w:rPr>
          <w:rStyle w:val="62"/>
        </w:rPr>
        <w:t xml:space="preserve">in the pop-up window to input a project name and create a project (*. proj) file for this tutorial exercise. </w:t>
      </w:r>
    </w:p>
    <w:p>
      <w:pPr>
        <w:spacing w:line="360" w:lineRule="auto"/>
      </w:pPr>
      <w:r>
        <w:t xml:space="preserve">The PM Analysis will complete after a few minutes and the results of this analysis will be presented in MAP, Receptor Analysis, QA/Validate and Data module on the right of current window. See </w:t>
      </w:r>
      <w:r>
        <w:fldChar w:fldCharType="begin"/>
      </w:r>
      <w:r>
        <w:instrText xml:space="preserve"> HYPERLINK \l "_Operation_Results" </w:instrText>
      </w:r>
      <w:r>
        <w:fldChar w:fldCharType="separate"/>
      </w:r>
      <w:r>
        <w:rPr>
          <w:rStyle w:val="30"/>
        </w:rPr>
        <w:t>Chapter 6</w:t>
      </w:r>
      <w:r>
        <w:rPr>
          <w:rStyle w:val="30"/>
        </w:rPr>
        <w:fldChar w:fldCharType="end"/>
      </w:r>
      <w:r>
        <w:rPr>
          <w:rStyle w:val="64"/>
        </w:rPr>
        <w:t xml:space="preserve"> </w:t>
      </w:r>
      <w:r>
        <w:t>for details on how to analyze the results.</w:t>
      </w:r>
    </w:p>
    <w:p>
      <w:pPr>
        <w:pStyle w:val="3"/>
      </w:pPr>
      <w:bookmarkStart w:id="68" w:name="_Toc122982055"/>
      <w:r>
        <w:rPr>
          <w:rFonts w:hint="eastAsia"/>
        </w:rPr>
        <w:t>O</w:t>
      </w:r>
      <w:r>
        <w:t>zone Analysis Quick Start</w:t>
      </w:r>
      <w:bookmarkEnd w:id="68"/>
    </w:p>
    <w:p>
      <w:pPr>
        <w:spacing w:line="360" w:lineRule="auto"/>
      </w:pPr>
      <w:r>
        <w:t xml:space="preserve">The steps below describe how to use </w:t>
      </w:r>
      <w:r>
        <w:rPr>
          <w:rFonts w:hint="eastAsia"/>
        </w:rPr>
        <w:t>FAST</w:t>
      </w:r>
      <w:r>
        <w:t>-CE to conduct source contributions and create SMAT-CE air quality surface flexibly and in real-time for O</w:t>
      </w:r>
      <w:r>
        <w:rPr>
          <w:vertAlign w:val="subscript"/>
        </w:rPr>
        <w:t>3</w:t>
      </w:r>
      <w:r>
        <w:t>.</w:t>
      </w:r>
    </w:p>
    <w:p>
      <w:pPr>
        <w:spacing w:line="360" w:lineRule="auto"/>
        <w:rPr>
          <w:b/>
          <w:bCs/>
          <w:u w:val="single"/>
        </w:rPr>
      </w:pPr>
    </w:p>
    <w:p>
      <w:pPr>
        <w:spacing w:line="360" w:lineRule="auto"/>
      </w:pPr>
      <w:r>
        <w:rPr>
          <w:b/>
          <w:bCs/>
          <w:u w:val="single"/>
        </w:rPr>
        <w:t>Step 1.</w:t>
      </w:r>
      <w:r>
        <w:t xml:space="preserve"> Click </w:t>
      </w:r>
      <w:r>
        <w:rPr>
          <w:b/>
          <w:bCs/>
        </w:rPr>
        <w:t>Ozone Analysis</w:t>
      </w:r>
      <w:r>
        <w:t xml:space="preserve"> on the SMAT-CE Start Page to launch the Ozone Analysis module window. Click </w:t>
      </w:r>
      <w:r>
        <w:rPr>
          <w:b/>
          <w:bCs/>
        </w:rPr>
        <w:t>Analysis</w:t>
      </w:r>
      <w:r>
        <w:rPr>
          <w:rFonts w:hint="eastAsia"/>
          <w:b/>
          <w:bCs/>
        </w:rPr>
        <w:t>→O</w:t>
      </w:r>
      <w:r>
        <w:rPr>
          <w:b/>
          <w:bCs/>
        </w:rPr>
        <w:t xml:space="preserve">zone </w:t>
      </w:r>
      <w:r>
        <w:t xml:space="preserve">menu on the </w:t>
      </w:r>
      <w:r>
        <w:rPr>
          <w:rFonts w:hint="eastAsia"/>
        </w:rPr>
        <w:t>top</w:t>
      </w:r>
      <w:r>
        <w:t xml:space="preserve"> of FAST-CE Home Page to launch the Ozone Analysis module window.</w:t>
      </w:r>
    </w:p>
    <w:p>
      <w:pPr>
        <w:spacing w:line="360" w:lineRule="auto"/>
        <w:rPr>
          <w:b/>
          <w:bCs/>
          <w:u w:val="single"/>
        </w:rPr>
      </w:pPr>
    </w:p>
    <w:p>
      <w:pPr>
        <w:spacing w:line="360" w:lineRule="auto"/>
        <w:rPr>
          <w:rFonts w:eastAsia="Times New Roman"/>
        </w:rPr>
      </w:pPr>
      <w:r>
        <w:rPr>
          <w:b/>
          <w:bCs/>
          <w:u w:val="single"/>
        </w:rPr>
        <w:t>Step 2.</w:t>
      </w:r>
      <w:r>
        <w:rPr>
          <w:b/>
          <w:bCs/>
        </w:rPr>
        <w:t xml:space="preserve"> </w:t>
      </w:r>
      <w:r>
        <w:t xml:space="preserve">The </w:t>
      </w:r>
      <w:r>
        <w:rPr>
          <w:b/>
          <w:bCs/>
        </w:rPr>
        <w:t>Source Contribution Method Option</w:t>
      </w:r>
      <w:r>
        <w:t xml:space="preserve"> window display first. This window sets the source contribution method (e.g., OSAT/PSAT/APCA/ISAM), data input types (e.g., daily), input files of selected source contribution method, receptor region file and mapping file for Ozone analysis. FAST-CE </w:t>
      </w:r>
      <w:r>
        <w:rPr>
          <w:rFonts w:eastAsia="Times New Roman"/>
        </w:rPr>
        <w:t>calculates fraction contribution for each tag in each grid-cell based on the input files.</w:t>
      </w:r>
    </w:p>
    <w:p>
      <w:pPr>
        <w:spacing w:line="360" w:lineRule="auto"/>
        <w:rPr>
          <w:rStyle w:val="62"/>
        </w:rPr>
      </w:pPr>
    </w:p>
    <w:p>
      <w:pPr>
        <w:spacing w:line="360" w:lineRule="auto"/>
      </w:pPr>
      <w:r>
        <w:rPr>
          <w:rStyle w:val="62"/>
        </w:rPr>
        <w:t xml:space="preserve">Use the default settings in the </w:t>
      </w:r>
      <w:r>
        <w:rPr>
          <w:b/>
          <w:bCs/>
        </w:rPr>
        <w:t>Source Contribution Method Option</w:t>
      </w:r>
      <w:r>
        <w:rPr>
          <w:rStyle w:val="62"/>
        </w:rPr>
        <w:t xml:space="preserve"> window.</w:t>
      </w:r>
    </w:p>
    <w:p>
      <w:pPr>
        <w:pStyle w:val="65"/>
        <w:spacing w:line="360" w:lineRule="auto"/>
        <w:rPr>
          <w:rStyle w:val="62"/>
        </w:rPr>
      </w:pPr>
      <w:r>
        <w:rPr>
          <w:rStyle w:val="62"/>
        </w:rPr>
        <w:t xml:space="preserve">Click on the </w:t>
      </w:r>
      <w:r>
        <w:rPr>
          <w:rStyle w:val="62"/>
          <w:b/>
          <w:bCs/>
          <w:color w:val="0432FF"/>
          <w:u w:val="single"/>
        </w:rPr>
        <w:t>Source Contribution Method Option</w:t>
      </w:r>
      <w:r>
        <w:rPr>
          <w:rStyle w:val="62"/>
          <w:color w:val="1F497D"/>
        </w:rPr>
        <w:t xml:space="preserve"> </w:t>
      </w:r>
      <w:r>
        <w:rPr>
          <w:rStyle w:val="62"/>
        </w:rPr>
        <w:t>hyperlink to display an electronic version of the User’s Manual for this window.</w:t>
      </w:r>
    </w:p>
    <w:p>
      <w:pPr>
        <w:pStyle w:val="65"/>
        <w:spacing w:line="360" w:lineRule="auto"/>
        <w:rPr>
          <w:rStyle w:val="62"/>
        </w:rPr>
      </w:pPr>
      <w:r>
        <w:rPr>
          <w:rStyle w:val="62"/>
          <w:b/>
          <w:bCs/>
        </w:rPr>
        <w:t xml:space="preserve">Source Contribution Method. </w:t>
      </w:r>
      <w:r>
        <w:rPr>
          <w:rStyle w:val="62"/>
        </w:rPr>
        <w:t xml:space="preserve">Sets the </w:t>
      </w:r>
      <w:r>
        <w:rPr>
          <w:rStyle w:val="62"/>
          <w:rFonts w:hint="eastAsia"/>
        </w:rPr>
        <w:t>source</w:t>
      </w:r>
      <w:r>
        <w:rPr>
          <w:rStyle w:val="62"/>
        </w:rPr>
        <w:t xml:space="preserve"> </w:t>
      </w:r>
      <w:r>
        <w:t xml:space="preserve">contribution method. There are </w:t>
      </w:r>
      <w:r>
        <w:rPr>
          <w:rStyle w:val="62"/>
        </w:rPr>
        <w:t xml:space="preserve">three sets of </w:t>
      </w:r>
      <w:r>
        <w:rPr>
          <w:rStyle w:val="62"/>
          <w:rFonts w:hint="eastAsia"/>
        </w:rPr>
        <w:t>source</w:t>
      </w:r>
      <w:r>
        <w:rPr>
          <w:rStyle w:val="62"/>
        </w:rPr>
        <w:t xml:space="preserve"> contribution methods for users to select. </w:t>
      </w:r>
      <w:r>
        <w:rPr>
          <w:rStyle w:val="62"/>
          <w:rFonts w:hint="eastAsia"/>
        </w:rPr>
        <w:t>The</w:t>
      </w:r>
      <w:r>
        <w:rPr>
          <w:rStyle w:val="62"/>
        </w:rPr>
        <w:t xml:space="preserve"> default selected is OSAT/PSAT/APCA/ISAM.</w:t>
      </w:r>
    </w:p>
    <w:p>
      <w:pPr>
        <w:pStyle w:val="65"/>
        <w:spacing w:line="360" w:lineRule="auto"/>
        <w:rPr>
          <w:rStyle w:val="62"/>
        </w:rPr>
      </w:pPr>
      <w:r>
        <w:rPr>
          <w:rStyle w:val="62"/>
          <w:rFonts w:hint="eastAsia"/>
          <w:b/>
          <w:bCs/>
        </w:rPr>
        <w:t>D</w:t>
      </w:r>
      <w:r>
        <w:rPr>
          <w:rStyle w:val="62"/>
          <w:b/>
          <w:bCs/>
        </w:rPr>
        <w:t xml:space="preserve">ata Input Types: </w:t>
      </w:r>
      <w:r>
        <w:rPr>
          <w:rStyle w:val="62"/>
        </w:rPr>
        <w:t>Sets the data type of input files. It provides three options: Daily, Seasonal avg. for O</w:t>
      </w:r>
      <w:r>
        <w:rPr>
          <w:rStyle w:val="62"/>
          <w:vertAlign w:val="subscript"/>
        </w:rPr>
        <w:t>3</w:t>
      </w:r>
      <w:r>
        <w:rPr>
          <w:rStyle w:val="62"/>
        </w:rPr>
        <w:t>-MDA8 (May-Sept) and Seasonal avg. for O</w:t>
      </w:r>
      <w:r>
        <w:rPr>
          <w:rStyle w:val="62"/>
          <w:vertAlign w:val="subscript"/>
        </w:rPr>
        <w:t>3</w:t>
      </w:r>
      <w:r>
        <w:rPr>
          <w:rStyle w:val="62"/>
        </w:rPr>
        <w:t>-MDA1 (April-OCT).</w:t>
      </w:r>
    </w:p>
    <w:p>
      <w:pPr>
        <w:pStyle w:val="65"/>
        <w:spacing w:line="360" w:lineRule="auto"/>
        <w:rPr>
          <w:rFonts w:eastAsia="Times New Roman"/>
        </w:rPr>
      </w:pPr>
      <w:r>
        <w:rPr>
          <w:rStyle w:val="62"/>
          <w:rFonts w:hint="eastAsia"/>
          <w:b/>
          <w:bCs/>
        </w:rPr>
        <w:t>D</w:t>
      </w:r>
      <w:r>
        <w:rPr>
          <w:rStyle w:val="62"/>
          <w:b/>
          <w:bCs/>
        </w:rPr>
        <w:t>ata Input File:</w:t>
      </w:r>
      <w:r>
        <w:rPr>
          <w:rStyle w:val="62"/>
        </w:rPr>
        <w:t xml:space="preserve"> For OSAT/PSAT/APCA/ISAM option, sets the </w:t>
      </w:r>
      <w:r>
        <w:rPr>
          <w:rFonts w:eastAsia="Times New Roman"/>
        </w:rPr>
        <w:t>SA tags IOAPI files. For RSM option, sets the rsm file (*.rsm) that contains the response parameters between emission and air quality.</w:t>
      </w:r>
    </w:p>
    <w:p>
      <w:pPr>
        <w:pStyle w:val="65"/>
        <w:spacing w:line="360" w:lineRule="auto"/>
        <w:rPr>
          <w:rStyle w:val="62"/>
        </w:rPr>
      </w:pPr>
      <w:r>
        <w:rPr>
          <w:rStyle w:val="62"/>
          <w:b/>
          <w:bCs/>
        </w:rPr>
        <w:t xml:space="preserve">Receptor Region File: </w:t>
      </w:r>
      <w:r>
        <w:rPr>
          <w:rStyle w:val="62"/>
        </w:rPr>
        <w:t>Sets the information of grid cells that located in those regions of interest.</w:t>
      </w:r>
    </w:p>
    <w:p>
      <w:pPr>
        <w:pStyle w:val="65"/>
        <w:spacing w:line="360" w:lineRule="auto"/>
        <w:rPr>
          <w:rStyle w:val="62"/>
        </w:rPr>
      </w:pPr>
      <w:r>
        <w:rPr>
          <w:rStyle w:val="62"/>
          <w:b/>
          <w:bCs/>
        </w:rPr>
        <w:t>Mapping File:</w:t>
      </w:r>
      <w:r>
        <w:rPr>
          <w:rStyle w:val="62"/>
        </w:rPr>
        <w:t xml:space="preserve"> Only for OSAT/PSAT/APCA/ISAM option. Sets a mapping between the variables in SA tag files and the variables in emission file.</w:t>
      </w:r>
    </w:p>
    <w:p>
      <w:pPr>
        <w:pStyle w:val="65"/>
        <w:spacing w:line="360" w:lineRule="auto"/>
        <w:rPr>
          <w:rStyle w:val="62"/>
        </w:rPr>
      </w:pPr>
      <w:r>
        <w:rPr>
          <w:rStyle w:val="62"/>
        </w:rPr>
        <w:t xml:space="preserve">Click the </w:t>
      </w:r>
      <w:r>
        <w:rPr>
          <w:rStyle w:val="62"/>
          <w:b/>
          <w:bCs/>
        </w:rPr>
        <w:t>Next</w:t>
      </w:r>
      <w:r>
        <w:rPr>
          <w:rStyle w:val="62"/>
        </w:rPr>
        <w:t xml:space="preserve"> arrow at the bottom right of the</w:t>
      </w:r>
      <w:r>
        <w:rPr>
          <w:b/>
          <w:bCs/>
        </w:rPr>
        <w:t xml:space="preserve"> Source Contribution Method Option</w:t>
      </w:r>
      <w:r>
        <w:rPr>
          <w:rStyle w:val="62"/>
        </w:rPr>
        <w:t xml:space="preserve"> window to proceed to the next step.</w:t>
      </w:r>
    </w:p>
    <w:p>
      <w:pPr>
        <w:spacing w:line="360" w:lineRule="auto"/>
      </w:pPr>
      <w:r>
        <w:rPr>
          <w:b/>
          <w:bCs/>
          <w:u w:val="single"/>
        </w:rPr>
        <w:t>Step 3.</w:t>
      </w:r>
      <w:r>
        <w:t xml:space="preserve"> The </w:t>
      </w:r>
      <w:r>
        <w:rPr>
          <w:b/>
          <w:bCs/>
        </w:rPr>
        <w:t>Emission &amp; Spatial Field Input Option</w:t>
      </w:r>
      <w:r>
        <w:t xml:space="preserve"> window sets the baseline spatial field files and emission files. Note that the baseline spatial field file (e.g., xxx - Spatial Field -- interpolated monitor data, temporally adjusted; gradient-adjusted monitor data, 2023.csv, “xxx” stands for </w:t>
      </w:r>
      <w:r>
        <w:rPr>
          <w:rStyle w:val="62"/>
        </w:rPr>
        <w:t>the project name of SMAT-CE</w:t>
      </w:r>
      <w:r>
        <w:t>) could be created by SMAT-CE. FAST-CE multiplies the baseline spatial field data by fractional contribution for each tag that calculated in last s</w:t>
      </w:r>
      <w:r>
        <w:rPr>
          <w:rFonts w:hint="eastAsia"/>
        </w:rPr>
        <w:t>tep</w:t>
      </w:r>
      <w:r>
        <w:t xml:space="preserve">, and then </w:t>
      </w:r>
      <w:r>
        <w:rPr>
          <w:rFonts w:hint="eastAsia"/>
        </w:rPr>
        <w:t>multi</w:t>
      </w:r>
      <w:r>
        <w:t xml:space="preserve">plies the appropriate emission ratio from emission files to create a scaled contribution tag fields, then finally sums up all scaled contribution tag fields to output future scenario </w:t>
      </w:r>
      <w:r>
        <w:rPr>
          <w:rFonts w:hint="eastAsia"/>
        </w:rPr>
        <w:t>spatial</w:t>
      </w:r>
      <w:r>
        <w:t xml:space="preserve"> </w:t>
      </w:r>
      <w:r>
        <w:rPr>
          <w:rFonts w:hint="eastAsia"/>
        </w:rPr>
        <w:t>field</w:t>
      </w:r>
      <w:r>
        <w:t xml:space="preserve"> data (including MDA1&amp;MDA8 for Ozone).</w:t>
      </w:r>
    </w:p>
    <w:p>
      <w:pPr>
        <w:spacing w:line="360" w:lineRule="auto"/>
      </w:pPr>
    </w:p>
    <w:p>
      <w:pPr>
        <w:spacing w:line="360" w:lineRule="auto"/>
      </w:pPr>
      <w:r>
        <w:rPr>
          <w:rStyle w:val="62"/>
        </w:rPr>
        <w:t xml:space="preserve">Use the default settings in the </w:t>
      </w:r>
      <w:r>
        <w:rPr>
          <w:b/>
          <w:bCs/>
        </w:rPr>
        <w:t>Source Contribution Method Option</w:t>
      </w:r>
      <w:r>
        <w:rPr>
          <w:rStyle w:val="62"/>
        </w:rPr>
        <w:t xml:space="preserve"> window.</w:t>
      </w:r>
    </w:p>
    <w:p>
      <w:pPr>
        <w:pStyle w:val="65"/>
        <w:spacing w:line="360" w:lineRule="auto"/>
      </w:pPr>
      <w:r>
        <w:rPr>
          <w:rStyle w:val="62"/>
        </w:rPr>
        <w:t xml:space="preserve">Click on the </w:t>
      </w:r>
      <w:r>
        <w:rPr>
          <w:rStyle w:val="62"/>
          <w:b/>
          <w:bCs/>
          <w:color w:val="0432FF"/>
          <w:u w:val="single"/>
        </w:rPr>
        <w:t>Emission &amp; Spatial Field Input Option</w:t>
      </w:r>
      <w:r>
        <w:rPr>
          <w:rStyle w:val="62"/>
          <w:color w:val="1F497D"/>
        </w:rPr>
        <w:t xml:space="preserve"> </w:t>
      </w:r>
      <w:r>
        <w:rPr>
          <w:rStyle w:val="62"/>
        </w:rPr>
        <w:t>hyperlink to display an electronic version of the User’s Manual for this window.</w:t>
      </w:r>
    </w:p>
    <w:p>
      <w:pPr>
        <w:pStyle w:val="65"/>
        <w:spacing w:line="360" w:lineRule="auto"/>
        <w:rPr>
          <w:rStyle w:val="62"/>
        </w:rPr>
      </w:pPr>
      <w:r>
        <w:rPr>
          <w:rStyle w:val="62"/>
        </w:rPr>
        <w:t xml:space="preserve">Click the </w:t>
      </w:r>
      <w:r>
        <w:rPr>
          <w:rStyle w:val="62"/>
          <w:b/>
          <w:bCs/>
        </w:rPr>
        <w:t>Next</w:t>
      </w:r>
      <w:r>
        <w:rPr>
          <w:rStyle w:val="62"/>
        </w:rPr>
        <w:t xml:space="preserve"> arrow at the bottom right of the </w:t>
      </w:r>
      <w:r>
        <w:rPr>
          <w:rStyle w:val="62"/>
          <w:b/>
          <w:bCs/>
        </w:rPr>
        <w:t>Emission &amp; Spatial Field Input Option</w:t>
      </w:r>
      <w:r>
        <w:rPr>
          <w:rStyle w:val="62"/>
        </w:rPr>
        <w:t xml:space="preserve"> window to proceed to the next step.</w:t>
      </w:r>
    </w:p>
    <w:p>
      <w:pPr>
        <w:spacing w:line="360" w:lineRule="auto"/>
      </w:pPr>
      <w:r>
        <w:rPr>
          <w:b/>
          <w:bCs/>
          <w:u w:val="single"/>
        </w:rPr>
        <w:t>Step 4.</w:t>
      </w:r>
      <w:r>
        <w:t xml:space="preserve"> The </w:t>
      </w:r>
      <w:r>
        <w:rPr>
          <w:b/>
          <w:bCs/>
        </w:rPr>
        <w:t>QA/Validation Input Option</w:t>
      </w:r>
      <w:r>
        <w:t xml:space="preserve"> window sets the validation configuration file. </w:t>
      </w:r>
      <w:r>
        <w:rPr>
          <w:rFonts w:hint="eastAsia"/>
        </w:rPr>
        <w:t>This</w:t>
      </w:r>
      <w:r>
        <w:t xml:space="preserve"> step is optional, and the default is checked for ACE cases. This default option is determined by the default configuration file set in </w:t>
      </w:r>
      <w:r>
        <w:rPr>
          <w:b/>
          <w:bCs/>
          <w:szCs w:val="24"/>
        </w:rPr>
        <w:t xml:space="preserve">Startup Option. </w:t>
      </w:r>
      <w:r>
        <w:rPr>
          <w:rStyle w:val="62"/>
        </w:rPr>
        <w:t xml:space="preserve">For OSAT/PSAT/APCA/ISAM option </w:t>
      </w:r>
      <w:r>
        <w:t xml:space="preserve">specified in the </w:t>
      </w:r>
      <w:r>
        <w:rPr>
          <w:b/>
          <w:bCs/>
        </w:rPr>
        <w:t>Step 2</w:t>
      </w:r>
      <w:r>
        <w:rPr>
          <w:rStyle w:val="62"/>
        </w:rPr>
        <w:t xml:space="preserve">, this option validates the FAST-CE results with SMAT-CE results. For RSM option </w:t>
      </w:r>
      <w:r>
        <w:t xml:space="preserve">specified in the </w:t>
      </w:r>
      <w:r>
        <w:rPr>
          <w:b/>
          <w:bCs/>
        </w:rPr>
        <w:t xml:space="preserve">Step 2, </w:t>
      </w:r>
      <w:r>
        <w:t>this option verifies RSM predictions with those CMAQ simulations that not included in RSM creation.</w:t>
      </w:r>
    </w:p>
    <w:p>
      <w:pPr>
        <w:spacing w:line="360" w:lineRule="auto"/>
        <w:rPr>
          <w:rStyle w:val="62"/>
        </w:rPr>
      </w:pPr>
    </w:p>
    <w:p>
      <w:pPr>
        <w:spacing w:line="360" w:lineRule="auto"/>
      </w:pPr>
      <w:r>
        <w:rPr>
          <w:rStyle w:val="62"/>
        </w:rPr>
        <w:t>Use the default settings in the QA/Validation Input Option window.</w:t>
      </w:r>
    </w:p>
    <w:p>
      <w:pPr>
        <w:pStyle w:val="65"/>
        <w:spacing w:line="360" w:lineRule="auto"/>
      </w:pPr>
      <w:r>
        <w:rPr>
          <w:rStyle w:val="62"/>
        </w:rPr>
        <w:t xml:space="preserve">Click on the </w:t>
      </w:r>
      <w:r>
        <w:rPr>
          <w:rStyle w:val="62"/>
          <w:b/>
          <w:bCs/>
          <w:color w:val="0432FF"/>
          <w:u w:val="single"/>
        </w:rPr>
        <w:t>QA/Validation Input Option</w:t>
      </w:r>
      <w:r>
        <w:rPr>
          <w:rStyle w:val="62"/>
          <w:b/>
          <w:bCs/>
          <w:color w:val="0432FF"/>
        </w:rPr>
        <w:t xml:space="preserve"> </w:t>
      </w:r>
      <w:r>
        <w:rPr>
          <w:rStyle w:val="62"/>
        </w:rPr>
        <w:t>hyperlink to display an electronic version of the User’s Manual for this window.</w:t>
      </w:r>
    </w:p>
    <w:p>
      <w:pPr>
        <w:pStyle w:val="65"/>
        <w:spacing w:line="360" w:lineRule="auto"/>
      </w:pPr>
      <w:r>
        <w:rPr>
          <w:rStyle w:val="62"/>
        </w:rPr>
        <w:t xml:space="preserve">Click the </w:t>
      </w:r>
      <w:r>
        <w:rPr>
          <w:rStyle w:val="62"/>
          <w:b/>
          <w:bCs/>
        </w:rPr>
        <w:t>Next</w:t>
      </w:r>
      <w:r>
        <w:rPr>
          <w:rStyle w:val="62"/>
        </w:rPr>
        <w:t xml:space="preserve"> arrow at the bottom right of the </w:t>
      </w:r>
      <w:r>
        <w:rPr>
          <w:b/>
          <w:bCs/>
        </w:rPr>
        <w:t>QA/Validation Input Option</w:t>
      </w:r>
      <w:r>
        <w:rPr>
          <w:rStyle w:val="62"/>
        </w:rPr>
        <w:t xml:space="preserve"> window to complete the Ozone Analysis configuration and run the FAST-CE project.</w:t>
      </w:r>
    </w:p>
    <w:p>
      <w:pPr>
        <w:pStyle w:val="65"/>
        <w:spacing w:line="360" w:lineRule="auto"/>
      </w:pPr>
      <w:r>
        <w:rPr>
          <w:rStyle w:val="62"/>
        </w:rPr>
        <w:t>Click</w:t>
      </w:r>
      <w:r>
        <w:rPr>
          <w:rStyle w:val="62"/>
          <w:b/>
          <w:bCs/>
        </w:rPr>
        <w:t xml:space="preserve"> OK </w:t>
      </w:r>
      <w:r>
        <w:rPr>
          <w:rStyle w:val="62"/>
        </w:rPr>
        <w:t xml:space="preserve">in the pop-up window to input a project name and create a project (*. proj) file for this tutorial exercise. </w:t>
      </w:r>
    </w:p>
    <w:p>
      <w:pPr>
        <w:spacing w:line="360" w:lineRule="auto"/>
      </w:pPr>
      <w:r>
        <w:t xml:space="preserve">The Ozone Analysis will complete after a few minutes and the results of this analysis will be presented in MAP, Receptor Analysis, QA/Validate and Data module on the right of current window. See </w:t>
      </w:r>
      <w:r>
        <w:fldChar w:fldCharType="begin"/>
      </w:r>
      <w:r>
        <w:instrText xml:space="preserve"> HYPERLINK \l "_Operation_Results" </w:instrText>
      </w:r>
      <w:r>
        <w:fldChar w:fldCharType="separate"/>
      </w:r>
      <w:r>
        <w:rPr>
          <w:rStyle w:val="29"/>
        </w:rPr>
        <w:t>Chapter 6</w:t>
      </w:r>
      <w:r>
        <w:rPr>
          <w:rStyle w:val="30"/>
        </w:rPr>
        <w:fldChar w:fldCharType="end"/>
      </w:r>
      <w:r>
        <w:rPr>
          <w:rStyle w:val="64"/>
        </w:rPr>
        <w:t xml:space="preserve"> </w:t>
      </w:r>
      <w:r>
        <w:t>for details on how to analyze the results.</w:t>
      </w:r>
    </w:p>
    <w:p>
      <w:pPr>
        <w:pStyle w:val="2"/>
        <w:spacing w:line="360" w:lineRule="auto"/>
        <w:rPr>
          <w:szCs w:val="32"/>
        </w:rPr>
      </w:pPr>
      <w:bookmarkStart w:id="69" w:name="_Toc122982056"/>
      <w:r>
        <w:rPr>
          <w:szCs w:val="32"/>
        </w:rPr>
        <w:t>Main Interface</w:t>
      </w:r>
      <w:bookmarkEnd w:id="69"/>
      <w:bookmarkStart w:id="70" w:name="_Toc438541467"/>
      <w:bookmarkStart w:id="71" w:name="_Toc439061756"/>
    </w:p>
    <w:p>
      <w:pPr>
        <w:spacing w:line="360" w:lineRule="auto"/>
        <w:ind w:firstLine="240"/>
      </w:pPr>
      <w:r>
        <w:rPr>
          <w:color w:val="000000"/>
        </w:rPr>
        <w:t xml:space="preserve">The top menu toolbar contains four menus: </w:t>
      </w:r>
      <w:r>
        <w:rPr>
          <w:b/>
          <w:color w:val="000000"/>
        </w:rPr>
        <w:t>File</w:t>
      </w:r>
      <w:r>
        <w:rPr>
          <w:color w:val="000000"/>
        </w:rPr>
        <w:t xml:space="preserve">, </w:t>
      </w:r>
      <w:r>
        <w:rPr>
          <w:b/>
          <w:color w:val="000000"/>
        </w:rPr>
        <w:t>Analysis</w:t>
      </w:r>
      <w:r>
        <w:rPr>
          <w:color w:val="000000"/>
        </w:rPr>
        <w:t xml:space="preserve">, </w:t>
      </w:r>
      <w:r>
        <w:rPr>
          <w:b/>
          <w:color w:val="000000"/>
        </w:rPr>
        <w:t>View</w:t>
      </w:r>
      <w:r>
        <w:rPr>
          <w:color w:val="000000"/>
        </w:rPr>
        <w:t xml:space="preserve"> and </w:t>
      </w:r>
      <w:r>
        <w:rPr>
          <w:b/>
          <w:color w:val="000000"/>
        </w:rPr>
        <w:t>About</w:t>
      </w:r>
    </w:p>
    <w:p>
      <w:pPr>
        <w:pStyle w:val="65"/>
        <w:spacing w:line="360" w:lineRule="auto"/>
      </w:pPr>
      <w:r>
        <w:t xml:space="preserve">Click the </w:t>
      </w:r>
      <w:r>
        <w:rPr>
          <w:b/>
        </w:rPr>
        <w:t>File</w:t>
      </w:r>
      <w:r>
        <w:t xml:space="preserve"> button on the toolbar of the main interface, there are seven options that users can choose.</w:t>
      </w:r>
    </w:p>
    <w:p>
      <w:pPr>
        <w:pStyle w:val="39"/>
        <w:numPr>
          <w:ilvl w:val="0"/>
          <w:numId w:val="8"/>
        </w:numPr>
        <w:spacing w:before="120" w:after="120" w:line="360" w:lineRule="auto"/>
        <w:ind w:left="360" w:firstLine="0"/>
        <w:rPr>
          <w:szCs w:val="24"/>
        </w:rPr>
      </w:pPr>
      <w:r>
        <w:rPr>
          <w:szCs w:val="24"/>
        </w:rPr>
        <w:t xml:space="preserve">Go to </w:t>
      </w:r>
      <w:r>
        <w:rPr>
          <w:b/>
          <w:szCs w:val="24"/>
        </w:rPr>
        <w:t>File</w:t>
      </w:r>
      <w:r>
        <w:rPr>
          <w:szCs w:val="24"/>
        </w:rPr>
        <w:t xml:space="preserve">, click </w:t>
      </w:r>
      <w:r>
        <w:rPr>
          <w:b/>
          <w:szCs w:val="24"/>
        </w:rPr>
        <w:t>Open Project (*.proj)</w:t>
      </w:r>
      <w:r>
        <w:rPr>
          <w:szCs w:val="24"/>
        </w:rPr>
        <w:t xml:space="preserve"> button, locate the *.proj file and open it.</w:t>
      </w:r>
    </w:p>
    <w:p>
      <w:pPr>
        <w:pStyle w:val="39"/>
        <w:numPr>
          <w:ilvl w:val="0"/>
          <w:numId w:val="8"/>
        </w:numPr>
        <w:spacing w:before="120" w:after="120" w:line="360" w:lineRule="auto"/>
        <w:ind w:left="360" w:firstLine="0"/>
        <w:rPr>
          <w:szCs w:val="24"/>
        </w:rPr>
      </w:pPr>
      <w:r>
        <w:rPr>
          <w:szCs w:val="24"/>
        </w:rPr>
        <w:t xml:space="preserve">Click the </w:t>
      </w:r>
      <w:r>
        <w:rPr>
          <w:b/>
          <w:szCs w:val="24"/>
        </w:rPr>
        <w:t>New Project</w:t>
      </w:r>
      <w:r>
        <w:rPr>
          <w:szCs w:val="24"/>
        </w:rPr>
        <w:t xml:space="preserve"> button to create a new project.</w:t>
      </w:r>
    </w:p>
    <w:p>
      <w:pPr>
        <w:pStyle w:val="39"/>
        <w:numPr>
          <w:ilvl w:val="0"/>
          <w:numId w:val="8"/>
        </w:numPr>
        <w:spacing w:before="120" w:after="120" w:line="360" w:lineRule="auto"/>
        <w:ind w:left="360" w:firstLine="0"/>
        <w:rPr>
          <w:szCs w:val="24"/>
        </w:rPr>
      </w:pPr>
      <w:r>
        <w:rPr>
          <w:szCs w:val="24"/>
        </w:rPr>
        <w:t xml:space="preserve">Click the </w:t>
      </w:r>
      <w:r>
        <w:rPr>
          <w:b/>
          <w:szCs w:val="24"/>
        </w:rPr>
        <w:t>Load Configuration (*.xml)</w:t>
      </w:r>
      <w:r>
        <w:rPr>
          <w:szCs w:val="24"/>
        </w:rPr>
        <w:t xml:space="preserve"> button to load a configuration file (*.xml) for project input files.</w:t>
      </w:r>
    </w:p>
    <w:p>
      <w:pPr>
        <w:pStyle w:val="39"/>
        <w:numPr>
          <w:ilvl w:val="0"/>
          <w:numId w:val="8"/>
        </w:numPr>
        <w:spacing w:before="120" w:after="120" w:line="360" w:lineRule="auto"/>
        <w:ind w:left="360" w:firstLine="0"/>
        <w:rPr>
          <w:szCs w:val="24"/>
        </w:rPr>
      </w:pPr>
      <w:r>
        <w:rPr>
          <w:szCs w:val="24"/>
        </w:rPr>
        <w:t xml:space="preserve">Click the </w:t>
      </w:r>
      <w:r>
        <w:rPr>
          <w:b/>
          <w:bCs/>
          <w:szCs w:val="24"/>
        </w:rPr>
        <w:t>Save Configuration</w:t>
      </w:r>
      <w:r>
        <w:rPr>
          <w:b/>
          <w:szCs w:val="24"/>
        </w:rPr>
        <w:t xml:space="preserve"> (*.xml)</w:t>
      </w:r>
      <w:r>
        <w:rPr>
          <w:b/>
          <w:bCs/>
          <w:szCs w:val="24"/>
        </w:rPr>
        <w:t xml:space="preserve"> </w:t>
      </w:r>
      <w:r>
        <w:rPr>
          <w:szCs w:val="24"/>
        </w:rPr>
        <w:t>button to save a configuration file (*.xml) for project input files.</w:t>
      </w:r>
    </w:p>
    <w:p>
      <w:pPr>
        <w:pStyle w:val="39"/>
        <w:numPr>
          <w:ilvl w:val="0"/>
          <w:numId w:val="8"/>
        </w:numPr>
        <w:spacing w:before="120" w:after="120" w:line="360" w:lineRule="auto"/>
        <w:ind w:left="360" w:firstLine="0"/>
        <w:rPr>
          <w:szCs w:val="24"/>
        </w:rPr>
      </w:pPr>
      <w:r>
        <w:rPr>
          <w:rFonts w:hint="eastAsia"/>
          <w:szCs w:val="24"/>
        </w:rPr>
        <w:t>C</w:t>
      </w:r>
      <w:r>
        <w:rPr>
          <w:szCs w:val="24"/>
        </w:rPr>
        <w:t xml:space="preserve">lick the </w:t>
      </w:r>
      <w:r>
        <w:rPr>
          <w:b/>
          <w:bCs/>
          <w:szCs w:val="24"/>
        </w:rPr>
        <w:t>Example Cases</w:t>
      </w:r>
      <w:r>
        <w:rPr>
          <w:szCs w:val="24"/>
        </w:rPr>
        <w:t xml:space="preserve"> button to load the default configuration for “ACE O3 case” or “ACE PM </w:t>
      </w:r>
      <w:r>
        <w:rPr>
          <w:rFonts w:hint="eastAsia"/>
          <w:szCs w:val="24"/>
        </w:rPr>
        <w:t>case</w:t>
      </w:r>
      <w:r>
        <w:rPr>
          <w:szCs w:val="24"/>
        </w:rPr>
        <w:t>”.</w:t>
      </w:r>
    </w:p>
    <w:p>
      <w:pPr>
        <w:pStyle w:val="39"/>
        <w:numPr>
          <w:ilvl w:val="0"/>
          <w:numId w:val="8"/>
        </w:numPr>
        <w:spacing w:before="120" w:after="120" w:line="360" w:lineRule="auto"/>
        <w:ind w:left="360" w:firstLine="0"/>
        <w:rPr>
          <w:szCs w:val="24"/>
        </w:rPr>
      </w:pPr>
      <w:r>
        <w:rPr>
          <w:rFonts w:hint="eastAsia"/>
          <w:szCs w:val="24"/>
        </w:rPr>
        <w:t>C</w:t>
      </w:r>
      <w:r>
        <w:rPr>
          <w:szCs w:val="24"/>
        </w:rPr>
        <w:t xml:space="preserve">lick the </w:t>
      </w:r>
      <w:r>
        <w:rPr>
          <w:b/>
          <w:bCs/>
          <w:szCs w:val="24"/>
        </w:rPr>
        <w:t>Startup Option</w:t>
      </w:r>
      <w:r>
        <w:rPr>
          <w:szCs w:val="24"/>
        </w:rPr>
        <w:t xml:space="preserve"> button to set a default configuration file (*.xml). After settings, the default inputs in FAST-CE will be loaded from this default configuration file, even the program is opened next time. User can also decide whether to enable the EJ function here. Note that the EJ function only enables </w:t>
      </w:r>
      <w:r>
        <w:rPr>
          <w:rFonts w:hint="eastAsia"/>
          <w:szCs w:val="24"/>
        </w:rPr>
        <w:t>when</w:t>
      </w:r>
      <w:r>
        <w:rPr>
          <w:szCs w:val="24"/>
        </w:rPr>
        <w:t xml:space="preserve"> </w:t>
      </w:r>
      <w:r>
        <w:rPr>
          <w:rFonts w:hint="eastAsia"/>
          <w:szCs w:val="24"/>
        </w:rPr>
        <w:t>the</w:t>
      </w:r>
      <w:r>
        <w:rPr>
          <w:szCs w:val="24"/>
        </w:rPr>
        <w:t xml:space="preserve"> </w:t>
      </w:r>
      <w:r>
        <w:rPr>
          <w:rFonts w:hint="eastAsia"/>
          <w:szCs w:val="24"/>
        </w:rPr>
        <w:t>EJ</w:t>
      </w:r>
      <w:r>
        <w:rPr>
          <w:szCs w:val="24"/>
        </w:rPr>
        <w:t xml:space="preserve"> data package is installed successfully after checking the EJ function in </w:t>
      </w:r>
      <w:r>
        <w:rPr>
          <w:b/>
          <w:bCs/>
          <w:szCs w:val="24"/>
        </w:rPr>
        <w:t>Startup Option</w:t>
      </w:r>
      <w:r>
        <w:rPr>
          <w:szCs w:val="24"/>
        </w:rPr>
        <w:t>.</w:t>
      </w:r>
    </w:p>
    <w:p>
      <w:pPr>
        <w:pStyle w:val="39"/>
        <w:numPr>
          <w:ilvl w:val="0"/>
          <w:numId w:val="8"/>
        </w:numPr>
        <w:spacing w:before="120" w:after="120" w:line="360" w:lineRule="auto"/>
        <w:ind w:left="360" w:firstLine="0"/>
        <w:rPr>
          <w:szCs w:val="24"/>
        </w:rPr>
      </w:pPr>
      <w:r>
        <w:rPr>
          <w:rFonts w:hint="eastAsia"/>
          <w:szCs w:val="24"/>
        </w:rPr>
        <w:t>C</w:t>
      </w:r>
      <w:r>
        <w:rPr>
          <w:szCs w:val="24"/>
        </w:rPr>
        <w:t xml:space="preserve">lick the </w:t>
      </w:r>
      <w:r>
        <w:rPr>
          <w:b/>
          <w:bCs/>
          <w:szCs w:val="24"/>
        </w:rPr>
        <w:t>Exit</w:t>
      </w:r>
      <w:r>
        <w:rPr>
          <w:szCs w:val="24"/>
        </w:rPr>
        <w:t xml:space="preserve"> button to exit the program.</w:t>
      </w:r>
    </w:p>
    <w:p>
      <w:pPr>
        <w:pStyle w:val="65"/>
        <w:spacing w:line="360" w:lineRule="auto"/>
      </w:pPr>
      <w:r>
        <w:t xml:space="preserve">Click the </w:t>
      </w:r>
      <w:r>
        <w:rPr>
          <w:b/>
        </w:rPr>
        <w:t>View</w:t>
      </w:r>
      <w:r>
        <w:t xml:space="preserve"> button on the toolbar of the main interface, there are two options that users can choose.</w:t>
      </w:r>
    </w:p>
    <w:p>
      <w:pPr>
        <w:pStyle w:val="39"/>
        <w:numPr>
          <w:ilvl w:val="0"/>
          <w:numId w:val="9"/>
        </w:numPr>
        <w:spacing w:before="120" w:after="120" w:line="360" w:lineRule="auto"/>
        <w:ind w:firstLine="0"/>
        <w:rPr>
          <w:szCs w:val="24"/>
        </w:rPr>
      </w:pPr>
      <w:r>
        <w:rPr>
          <w:szCs w:val="24"/>
        </w:rPr>
        <w:t xml:space="preserve">Click the </w:t>
      </w:r>
      <w:r>
        <w:rPr>
          <w:b/>
          <w:szCs w:val="24"/>
        </w:rPr>
        <w:t>Setting Viewer</w:t>
      </w:r>
      <w:r>
        <w:rPr>
          <w:szCs w:val="24"/>
        </w:rPr>
        <w:t xml:space="preserve"> button to view the setting interface.</w:t>
      </w:r>
    </w:p>
    <w:p>
      <w:pPr>
        <w:pStyle w:val="39"/>
        <w:numPr>
          <w:ilvl w:val="0"/>
          <w:numId w:val="9"/>
        </w:numPr>
        <w:spacing w:before="120" w:after="120" w:line="360" w:lineRule="auto"/>
        <w:ind w:firstLine="0"/>
        <w:rPr>
          <w:szCs w:val="24"/>
        </w:rPr>
      </w:pPr>
      <w:r>
        <w:rPr>
          <w:szCs w:val="24"/>
        </w:rPr>
        <w:t xml:space="preserve">Click the </w:t>
      </w:r>
      <w:r>
        <w:rPr>
          <w:b/>
          <w:szCs w:val="24"/>
        </w:rPr>
        <w:t>Data Viewer</w:t>
      </w:r>
      <w:r>
        <w:rPr>
          <w:szCs w:val="24"/>
        </w:rPr>
        <w:t xml:space="preserve"> button to view the visual analysis interface.</w:t>
      </w:r>
    </w:p>
    <w:p>
      <w:pPr>
        <w:pStyle w:val="65"/>
        <w:spacing w:line="360" w:lineRule="auto"/>
      </w:pPr>
      <w:r>
        <w:t xml:space="preserve">Click the </w:t>
      </w:r>
      <w:r>
        <w:rPr>
          <w:b/>
        </w:rPr>
        <w:t>Analysis</w:t>
      </w:r>
      <w:r>
        <w:t xml:space="preserve"> button to select the target pollutant (e.g., PM, Ozone) to be analyzed.</w:t>
      </w:r>
    </w:p>
    <w:p>
      <w:pPr>
        <w:pStyle w:val="65"/>
        <w:spacing w:line="360" w:lineRule="auto"/>
      </w:pPr>
      <w:r>
        <w:t xml:space="preserve">Click the </w:t>
      </w:r>
      <w:r>
        <w:rPr>
          <w:b/>
        </w:rPr>
        <w:t>About</w:t>
      </w:r>
      <w:r>
        <w:t xml:space="preserve"> button to see the version and copyright information of FAST-CE.</w:t>
      </w:r>
    </w:p>
    <w:p>
      <w:pPr>
        <w:pStyle w:val="65"/>
        <w:spacing w:line="360" w:lineRule="auto"/>
      </w:pPr>
      <w:r>
        <w:t>To complete a FAST-CE case, users should configure three streamline options to input data and configure the calculation parameters step by step. The three options are called Source Contribution Input Option, Emission &amp; Spatial Field Input Option, and QA/Validation Input Option.</w:t>
      </w:r>
    </w:p>
    <w:p>
      <w:pPr>
        <w:pStyle w:val="65"/>
        <w:numPr>
          <w:ilvl w:val="0"/>
          <w:numId w:val="0"/>
        </w:numPr>
        <w:spacing w:line="360" w:lineRule="auto"/>
        <w:ind w:left="360"/>
      </w:pPr>
    </w:p>
    <w:p>
      <w:pPr>
        <w:spacing w:line="360" w:lineRule="auto"/>
      </w:pPr>
      <w:r>
        <w:t xml:space="preserve">The main interface of FAST-CE is shown in </w:t>
      </w:r>
      <w:r>
        <w:fldChar w:fldCharType="begin"/>
      </w:r>
      <w:r>
        <w:instrText xml:space="preserve"> REF _Ref43663247 \h  \* MERGEFORMAT </w:instrText>
      </w:r>
      <w:r>
        <w:fldChar w:fldCharType="separate"/>
      </w:r>
      <w:r>
        <w:t>Figure 11</w:t>
      </w:r>
      <w:r>
        <w:fldChar w:fldCharType="end"/>
      </w:r>
      <w:r>
        <w:t>.</w:t>
      </w:r>
    </w:p>
    <w:p>
      <w:pPr>
        <w:pStyle w:val="65"/>
        <w:numPr>
          <w:ilvl w:val="0"/>
          <w:numId w:val="0"/>
        </w:numPr>
        <w:spacing w:line="360" w:lineRule="auto"/>
      </w:pPr>
    </w:p>
    <w:p>
      <w:pPr>
        <w:spacing w:line="360" w:lineRule="auto"/>
        <w:jc w:val="center"/>
      </w:pPr>
      <w:r>
        <w:drawing>
          <wp:inline distT="0" distB="0" distL="0" distR="0">
            <wp:extent cx="4905375" cy="3567430"/>
            <wp:effectExtent l="0" t="0" r="0" b="0"/>
            <wp:docPr id="34" name="P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 12"/>
                    <pic:cNvPicPr>
                      <a:picLocks noChangeAspect="1"/>
                    </pic:cNvPicPr>
                  </pic:nvPicPr>
                  <pic:blipFill>
                    <a:blip r:embed="rId23" cstate="print"/>
                    <a:stretch>
                      <a:fillRect/>
                    </a:stretch>
                  </pic:blipFill>
                  <pic:spPr>
                    <a:xfrm>
                      <a:off x="0" y="0"/>
                      <a:ext cx="4909809" cy="3570770"/>
                    </a:xfrm>
                    <a:prstGeom prst="rect">
                      <a:avLst/>
                    </a:prstGeom>
                  </pic:spPr>
                </pic:pic>
              </a:graphicData>
            </a:graphic>
          </wp:inline>
        </w:drawing>
      </w:r>
    </w:p>
    <w:p>
      <w:pPr>
        <w:pStyle w:val="11"/>
        <w:spacing w:line="360" w:lineRule="auto"/>
        <w:ind w:firstLine="240"/>
      </w:pPr>
      <w:bookmarkStart w:id="72" w:name="_Ref43663247"/>
      <w:bookmarkStart w:id="73" w:name="_Toc122982106"/>
      <w:bookmarkStart w:id="74" w:name="_Toc43734196"/>
      <w:r>
        <w:t xml:space="preserve">Figure </w:t>
      </w:r>
      <w:r>
        <w:fldChar w:fldCharType="begin"/>
      </w:r>
      <w:r>
        <w:instrText xml:space="preserve"> SEQ Fig. \* ARABIC </w:instrText>
      </w:r>
      <w:r>
        <w:fldChar w:fldCharType="separate"/>
      </w:r>
      <w:r>
        <w:t>11</w:t>
      </w:r>
      <w:r>
        <w:fldChar w:fldCharType="end"/>
      </w:r>
      <w:bookmarkEnd w:id="72"/>
      <w:r>
        <w:t xml:space="preserve">. Main Interface of </w:t>
      </w:r>
      <w:r>
        <w:rPr>
          <w:rFonts w:hint="eastAsia"/>
        </w:rPr>
        <w:t>FAST</w:t>
      </w:r>
      <w:r>
        <w:t>-CE</w:t>
      </w:r>
      <w:bookmarkEnd w:id="73"/>
      <w:bookmarkEnd w:id="74"/>
    </w:p>
    <w:p>
      <w:pPr>
        <w:numPr>
          <w:ilvl w:val="0"/>
          <w:numId w:val="10"/>
        </w:numPr>
        <w:adjustRightInd/>
        <w:snapToGrid/>
        <w:spacing w:line="360" w:lineRule="auto"/>
        <w:jc w:val="left"/>
      </w:pPr>
      <w:r>
        <w:rPr>
          <w:b/>
          <w:color w:val="000000"/>
        </w:rPr>
        <w:t>Data Input Area</w:t>
      </w:r>
    </w:p>
    <w:p>
      <w:pPr>
        <w:spacing w:line="360" w:lineRule="auto"/>
        <w:ind w:firstLine="510"/>
      </w:pPr>
      <w:r>
        <w:rPr>
          <w:color w:val="000000"/>
        </w:rPr>
        <w:t xml:space="preserve">This part is for user to set up the configuration and input data files of different analysis.  </w:t>
      </w:r>
    </w:p>
    <w:p>
      <w:pPr>
        <w:spacing w:line="360" w:lineRule="auto"/>
        <w:ind w:firstLine="495"/>
      </w:pPr>
      <w:r>
        <w:rPr>
          <w:color w:val="000000"/>
        </w:rPr>
        <w:t xml:space="preserve">To complete a FAST-CE case, users should configure three streamline options to input data and configure the calculation parameters step by step. The three options are called </w:t>
      </w:r>
      <w:r>
        <w:rPr>
          <w:b/>
          <w:color w:val="000000"/>
        </w:rPr>
        <w:t>Source Contribution Input Option</w:t>
      </w:r>
      <w:r>
        <w:rPr>
          <w:color w:val="000000"/>
        </w:rPr>
        <w:t xml:space="preserve">, </w:t>
      </w:r>
      <w:r>
        <w:rPr>
          <w:b/>
          <w:color w:val="000000"/>
        </w:rPr>
        <w:t>Baseline AQ Surface &amp; Emissions Input Option</w:t>
      </w:r>
      <w:r>
        <w:rPr>
          <w:color w:val="000000"/>
        </w:rPr>
        <w:t xml:space="preserve">, and </w:t>
      </w:r>
      <w:r>
        <w:rPr>
          <w:b/>
          <w:color w:val="000000"/>
        </w:rPr>
        <w:t>QA and Comparison Option</w:t>
      </w:r>
      <w:r>
        <w:rPr>
          <w:color w:val="000000"/>
        </w:rPr>
        <w:t>.</w:t>
      </w:r>
    </w:p>
    <w:p>
      <w:pPr>
        <w:spacing w:line="360" w:lineRule="auto"/>
        <w:ind w:firstLine="240"/>
      </w:pPr>
    </w:p>
    <w:p>
      <w:pPr>
        <w:numPr>
          <w:ilvl w:val="0"/>
          <w:numId w:val="10"/>
        </w:numPr>
        <w:adjustRightInd/>
        <w:snapToGrid/>
        <w:spacing w:line="360" w:lineRule="auto"/>
        <w:jc w:val="left"/>
      </w:pPr>
      <w:r>
        <w:rPr>
          <w:b/>
          <w:color w:val="000000"/>
        </w:rPr>
        <w:t>Data View Area</w:t>
      </w:r>
    </w:p>
    <w:p>
      <w:pPr>
        <w:spacing w:line="360" w:lineRule="auto"/>
        <w:ind w:firstLine="510"/>
      </w:pPr>
      <w:r>
        <w:rPr>
          <w:color w:val="000000"/>
        </w:rPr>
        <w:t>When a FAST-CE analysis is completed, all the results will be displayed under the Data View Area. The system provides four kinds of ways to display the source contribution analysis results, including</w:t>
      </w:r>
      <w:r>
        <w:rPr>
          <w:b/>
          <w:color w:val="000000"/>
        </w:rPr>
        <w:t xml:space="preserve"> Map</w:t>
      </w:r>
      <w:r>
        <w:rPr>
          <w:color w:val="000000"/>
        </w:rPr>
        <w:t>,</w:t>
      </w:r>
      <w:r>
        <w:rPr>
          <w:b/>
          <w:color w:val="000000"/>
        </w:rPr>
        <w:t xml:space="preserve"> Receptor Analysis, QA/Validate, and Data</w:t>
      </w:r>
    </w:p>
    <w:p>
      <w:pPr>
        <w:spacing w:line="360" w:lineRule="auto"/>
        <w:ind w:firstLine="510"/>
      </w:pPr>
    </w:p>
    <w:p>
      <w:pPr>
        <w:numPr>
          <w:ilvl w:val="0"/>
          <w:numId w:val="10"/>
        </w:numPr>
        <w:adjustRightInd/>
        <w:snapToGrid/>
        <w:spacing w:line="360" w:lineRule="auto"/>
        <w:jc w:val="left"/>
      </w:pPr>
      <w:r>
        <w:rPr>
          <w:b/>
          <w:color w:val="000000"/>
        </w:rPr>
        <w:t>Model Domain &amp; Metadata Area</w:t>
      </w:r>
    </w:p>
    <w:p>
      <w:pPr>
        <w:spacing w:line="360" w:lineRule="auto"/>
        <w:rPr>
          <w:color w:val="000000"/>
        </w:rPr>
      </w:pPr>
      <w:r>
        <w:rPr>
          <w:color w:val="000000"/>
        </w:rPr>
        <w:t xml:space="preserve"> This area is to show the model domain and the meta-data information of a FAST-CE project.</w:t>
      </w:r>
    </w:p>
    <w:p>
      <w:pPr>
        <w:pStyle w:val="3"/>
      </w:pPr>
      <w:bookmarkStart w:id="75" w:name="4_1_Meta_Data_Function178D8418"/>
      <w:bookmarkStart w:id="76" w:name="_Toc105573377"/>
      <w:bookmarkStart w:id="77" w:name="_Toc122982057"/>
      <w:r>
        <w:t>Meta Data Function</w:t>
      </w:r>
      <w:bookmarkEnd w:id="75"/>
      <w:bookmarkEnd w:id="76"/>
      <w:bookmarkEnd w:id="77"/>
    </w:p>
    <w:p>
      <w:pPr>
        <w:spacing w:line="360" w:lineRule="auto"/>
        <w:ind w:firstLine="510"/>
        <w:rPr>
          <w:color w:val="000000"/>
        </w:rPr>
      </w:pPr>
      <w:r>
        <w:rPr>
          <w:color w:val="000000"/>
        </w:rPr>
        <w:t>Click the "Add/Edit" Metadata" and "Modelinfo", to activate "Metadata Information" and "Model Data" windows as shown in Figure 12. Users are allowed to identify the FAST-CE cases &amp; dataset.</w:t>
      </w:r>
    </w:p>
    <w:p>
      <w:pPr>
        <w:spacing w:line="360" w:lineRule="auto"/>
        <w:jc w:val="center"/>
        <w:rPr>
          <w:rStyle w:val="44"/>
        </w:rPr>
      </w:pPr>
      <w:r>
        <w:drawing>
          <wp:inline distT="0" distB="0" distL="0" distR="0">
            <wp:extent cx="5274310" cy="2745105"/>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274310" cy="2745105"/>
                    </a:xfrm>
                    <a:prstGeom prst="rect">
                      <a:avLst/>
                    </a:prstGeom>
                    <a:noFill/>
                    <a:ln>
                      <a:noFill/>
                    </a:ln>
                  </pic:spPr>
                </pic:pic>
              </a:graphicData>
            </a:graphic>
          </wp:inline>
        </w:drawing>
      </w:r>
    </w:p>
    <w:p>
      <w:pPr>
        <w:spacing w:line="360" w:lineRule="auto"/>
        <w:jc w:val="center"/>
      </w:pPr>
      <w:bookmarkStart w:id="78" w:name="_Toc122982107"/>
      <w:r>
        <w:rPr>
          <w:rStyle w:val="44"/>
        </w:rPr>
        <w:t xml:space="preserve">Figure </w:t>
      </w:r>
      <w:r>
        <w:rPr>
          <w:rStyle w:val="44"/>
        </w:rPr>
        <w:fldChar w:fldCharType="begin"/>
      </w:r>
      <w:r>
        <w:rPr>
          <w:rStyle w:val="44"/>
        </w:rPr>
        <w:instrText xml:space="preserve"> SEQ Fig. \* ARABIC </w:instrText>
      </w:r>
      <w:r>
        <w:rPr>
          <w:rStyle w:val="44"/>
        </w:rPr>
        <w:fldChar w:fldCharType="separate"/>
      </w:r>
      <w:r>
        <w:rPr>
          <w:rStyle w:val="44"/>
        </w:rPr>
        <w:t>12</w:t>
      </w:r>
      <w:r>
        <w:rPr>
          <w:rStyle w:val="44"/>
        </w:rPr>
        <w:fldChar w:fldCharType="end"/>
      </w:r>
      <w:r>
        <w:rPr>
          <w:rStyle w:val="44"/>
        </w:rPr>
        <w:t>. Show Metadata/Model data</w:t>
      </w:r>
      <w:bookmarkEnd w:id="78"/>
    </w:p>
    <w:p>
      <w:pPr>
        <w:spacing w:line="360" w:lineRule="auto"/>
        <w:ind w:firstLine="510"/>
        <w:rPr>
          <w:color w:val="000000"/>
        </w:rPr>
      </w:pPr>
      <w:r>
        <w:rPr>
          <w:color w:val="000000"/>
        </w:rPr>
        <w:t>In “Add/Edit Metadata”, users are allowed to add new rows and add information if needed.</w:t>
      </w:r>
    </w:p>
    <w:p>
      <w:pPr>
        <w:spacing w:line="360" w:lineRule="auto"/>
        <w:jc w:val="center"/>
        <w:rPr>
          <w:rStyle w:val="44"/>
        </w:rPr>
      </w:pPr>
      <w:r>
        <w:drawing>
          <wp:inline distT="0" distB="0" distL="0" distR="0">
            <wp:extent cx="5295900" cy="3114675"/>
            <wp:effectExtent l="0" t="0" r="0" b="0"/>
            <wp:docPr id="40" name="P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 14"/>
                    <pic:cNvPicPr>
                      <a:picLocks noChangeAspect="1"/>
                    </pic:cNvPicPr>
                  </pic:nvPicPr>
                  <pic:blipFill>
                    <a:blip r:embed="rId25" cstate="print"/>
                    <a:stretch>
                      <a:fillRect/>
                    </a:stretch>
                  </pic:blipFill>
                  <pic:spPr>
                    <a:xfrm>
                      <a:off x="0" y="0"/>
                      <a:ext cx="5295900" cy="3114675"/>
                    </a:xfrm>
                    <a:prstGeom prst="rect">
                      <a:avLst/>
                    </a:prstGeom>
                  </pic:spPr>
                </pic:pic>
              </a:graphicData>
            </a:graphic>
          </wp:inline>
        </w:drawing>
      </w:r>
    </w:p>
    <w:p>
      <w:pPr>
        <w:spacing w:line="360" w:lineRule="auto"/>
        <w:jc w:val="center"/>
        <w:rPr>
          <w:rFonts w:eastAsia="黑体" w:cstheme="majorBidi"/>
          <w:i/>
          <w:kern w:val="2"/>
          <w:sz w:val="20"/>
          <w:szCs w:val="20"/>
          <w:lang w:bidi="en-US"/>
        </w:rPr>
      </w:pPr>
      <w:bookmarkStart w:id="79" w:name="_Toc122982108"/>
      <w:r>
        <w:rPr>
          <w:rStyle w:val="44"/>
        </w:rPr>
        <w:t xml:space="preserve">Figure </w:t>
      </w:r>
      <w:r>
        <w:rPr>
          <w:rStyle w:val="44"/>
        </w:rPr>
        <w:fldChar w:fldCharType="begin"/>
      </w:r>
      <w:r>
        <w:rPr>
          <w:rStyle w:val="44"/>
        </w:rPr>
        <w:instrText xml:space="preserve"> SEQ Fig. \* ARABIC </w:instrText>
      </w:r>
      <w:r>
        <w:rPr>
          <w:rStyle w:val="44"/>
        </w:rPr>
        <w:fldChar w:fldCharType="separate"/>
      </w:r>
      <w:r>
        <w:rPr>
          <w:rStyle w:val="44"/>
        </w:rPr>
        <w:t>13</w:t>
      </w:r>
      <w:r>
        <w:rPr>
          <w:rStyle w:val="44"/>
        </w:rPr>
        <w:fldChar w:fldCharType="end"/>
      </w:r>
      <w:r>
        <w:rPr>
          <w:rStyle w:val="44"/>
        </w:rPr>
        <w:t>. Add New Rows and Information</w:t>
      </w:r>
      <w:bookmarkEnd w:id="79"/>
    </w:p>
    <w:p>
      <w:pPr>
        <w:spacing w:line="360" w:lineRule="auto"/>
        <w:ind w:firstLine="510"/>
        <w:rPr>
          <w:color w:val="000000"/>
        </w:rPr>
      </w:pPr>
      <w:r>
        <w:rPr>
          <w:color w:val="000000"/>
        </w:rPr>
        <w:t>Click the "Delete", the selected row is deleted.</w:t>
      </w:r>
    </w:p>
    <w:p>
      <w:pPr>
        <w:pStyle w:val="11"/>
        <w:spacing w:line="360" w:lineRule="auto"/>
      </w:pPr>
      <w:r>
        <w:drawing>
          <wp:inline distT="0" distB="0" distL="0" distR="0">
            <wp:extent cx="5705475" cy="1704975"/>
            <wp:effectExtent l="0" t="0" r="0" b="0"/>
            <wp:docPr id="47" name="P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 15"/>
                    <pic:cNvPicPr>
                      <a:picLocks noChangeAspect="1"/>
                    </pic:cNvPicPr>
                  </pic:nvPicPr>
                  <pic:blipFill>
                    <a:blip r:embed="rId26" cstate="print"/>
                    <a:stretch>
                      <a:fillRect/>
                    </a:stretch>
                  </pic:blipFill>
                  <pic:spPr>
                    <a:xfrm>
                      <a:off x="0" y="0"/>
                      <a:ext cx="5705475" cy="1704975"/>
                    </a:xfrm>
                    <a:prstGeom prst="rect">
                      <a:avLst/>
                    </a:prstGeom>
                  </pic:spPr>
                </pic:pic>
              </a:graphicData>
            </a:graphic>
          </wp:inline>
        </w:drawing>
      </w:r>
    </w:p>
    <w:p>
      <w:pPr>
        <w:pStyle w:val="11"/>
        <w:spacing w:line="360" w:lineRule="auto"/>
      </w:pPr>
      <w:bookmarkStart w:id="80" w:name="_Toc122982109"/>
      <w:r>
        <w:t xml:space="preserve">Figure </w:t>
      </w:r>
      <w:r>
        <w:fldChar w:fldCharType="begin"/>
      </w:r>
      <w:r>
        <w:instrText xml:space="preserve"> SEQ Fig. \* ARABIC </w:instrText>
      </w:r>
      <w:r>
        <w:fldChar w:fldCharType="separate"/>
      </w:r>
      <w:r>
        <w:t>14</w:t>
      </w:r>
      <w:r>
        <w:fldChar w:fldCharType="end"/>
      </w:r>
      <w:r>
        <w:t>. Delete Rows</w:t>
      </w:r>
      <w:bookmarkEnd w:id="80"/>
    </w:p>
    <w:bookmarkEnd w:id="70"/>
    <w:bookmarkEnd w:id="71"/>
    <w:p>
      <w:pPr>
        <w:pStyle w:val="2"/>
        <w:spacing w:line="360" w:lineRule="auto"/>
      </w:pPr>
      <w:bookmarkStart w:id="81" w:name="_Toc122982058"/>
      <w:r>
        <w:t>Run FAST-CE</w:t>
      </w:r>
      <w:bookmarkEnd w:id="81"/>
    </w:p>
    <w:p>
      <w:pPr>
        <w:pStyle w:val="3"/>
      </w:pPr>
      <w:bookmarkStart w:id="82" w:name="_Hlk29510139"/>
      <w:bookmarkStart w:id="83" w:name="_Toc122982059"/>
      <w:r>
        <w:t>Source Contribution Input Option</w:t>
      </w:r>
      <w:bookmarkEnd w:id="82"/>
      <w:bookmarkEnd w:id="83"/>
    </w:p>
    <w:p>
      <w:pPr>
        <w:spacing w:line="360" w:lineRule="auto"/>
        <w:ind w:firstLine="510"/>
        <w:rPr>
          <w:color w:val="000000"/>
        </w:rPr>
      </w:pPr>
      <w:r>
        <w:rPr>
          <w:color w:val="000000"/>
        </w:rPr>
        <w:t>This option allows the user to select different source contribution methods and set up the input data and parameter configurations. FAST-CE 3.1 includes two kinds of source contribution methods: OSAT/PSAT/APCA/ISAM and RSM method. The GUI and input data are different for different methods.</w:t>
      </w:r>
    </w:p>
    <w:p>
      <w:pPr>
        <w:spacing w:line="360" w:lineRule="auto"/>
        <w:jc w:val="center"/>
        <w:rPr>
          <w:rFonts w:cs="Times New Roman"/>
          <w:szCs w:val="24"/>
        </w:rPr>
      </w:pPr>
      <w:r>
        <w:drawing>
          <wp:inline distT="0" distB="0" distL="0" distR="0">
            <wp:extent cx="5274310" cy="3810000"/>
            <wp:effectExtent l="0" t="0" r="2540" b="0"/>
            <wp:docPr id="58" name="P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 16"/>
                    <pic:cNvPicPr>
                      <a:picLocks noChangeAspect="1"/>
                    </pic:cNvPicPr>
                  </pic:nvPicPr>
                  <pic:blipFill>
                    <a:blip r:embed="rId27" cstate="print"/>
                    <a:stretch>
                      <a:fillRect/>
                    </a:stretch>
                  </pic:blipFill>
                  <pic:spPr>
                    <a:xfrm>
                      <a:off x="0" y="0"/>
                      <a:ext cx="5274310" cy="3810626"/>
                    </a:xfrm>
                    <a:prstGeom prst="rect">
                      <a:avLst/>
                    </a:prstGeom>
                  </pic:spPr>
                </pic:pic>
              </a:graphicData>
            </a:graphic>
          </wp:inline>
        </w:drawing>
      </w:r>
    </w:p>
    <w:p>
      <w:pPr>
        <w:pStyle w:val="11"/>
        <w:spacing w:line="360" w:lineRule="auto"/>
        <w:ind w:firstLine="240"/>
        <w:rPr>
          <w:rFonts w:cs="Times New Roman"/>
          <w:szCs w:val="24"/>
        </w:rPr>
      </w:pPr>
      <w:bookmarkStart w:id="84" w:name="_Toc122982110"/>
      <w:bookmarkStart w:id="85" w:name="_Toc43734197"/>
      <w:r>
        <w:t xml:space="preserve">Figure </w:t>
      </w:r>
      <w:r>
        <w:fldChar w:fldCharType="begin"/>
      </w:r>
      <w:r>
        <w:instrText xml:space="preserve"> SEQ Fig. \* ARABIC </w:instrText>
      </w:r>
      <w:r>
        <w:fldChar w:fldCharType="separate"/>
      </w:r>
      <w:r>
        <w:t>15</w:t>
      </w:r>
      <w:r>
        <w:fldChar w:fldCharType="end"/>
      </w:r>
      <w:r>
        <w:t>. Source Contribution Input Option</w:t>
      </w:r>
      <w:bookmarkEnd w:id="84"/>
      <w:bookmarkEnd w:id="85"/>
    </w:p>
    <w:p>
      <w:pPr>
        <w:pStyle w:val="4"/>
      </w:pPr>
      <w:bookmarkStart w:id="86" w:name="_Toc122982060"/>
      <w:r>
        <w:t>Input option for OSAT/PSAT/APCA/ISAM method</w:t>
      </w:r>
      <w:bookmarkEnd w:id="86"/>
    </w:p>
    <w:p>
      <w:pPr>
        <w:spacing w:line="360" w:lineRule="auto"/>
        <w:ind w:firstLine="510"/>
        <w:rPr>
          <w:color w:val="000000"/>
        </w:rPr>
      </w:pPr>
      <w:r>
        <w:rPr>
          <w:color w:val="000000"/>
        </w:rPr>
        <w:t xml:space="preserve">For the OSAT/PSAT/APCA/ISAM methods, there are four necessary sub-options: </w:t>
      </w:r>
      <w:r>
        <w:rPr>
          <w:b/>
          <w:color w:val="000000"/>
        </w:rPr>
        <w:t xml:space="preserve">Data Input </w:t>
      </w:r>
      <w:r>
        <w:rPr>
          <w:rFonts w:hint="eastAsia"/>
          <w:b/>
          <w:color w:val="000000"/>
        </w:rPr>
        <w:t>File</w:t>
      </w:r>
      <w:r>
        <w:rPr>
          <w:color w:val="000000"/>
        </w:rPr>
        <w:t xml:space="preserve">, </w:t>
      </w:r>
      <w:r>
        <w:rPr>
          <w:b/>
          <w:color w:val="000000"/>
        </w:rPr>
        <w:t>Source Apportionment Data Input File</w:t>
      </w:r>
      <w:r>
        <w:rPr>
          <w:color w:val="000000"/>
        </w:rPr>
        <w:t xml:space="preserve">, </w:t>
      </w:r>
      <w:r>
        <w:rPr>
          <w:b/>
          <w:color w:val="000000"/>
        </w:rPr>
        <w:t>Source Apportionment Mapping File</w:t>
      </w:r>
      <w:r>
        <w:rPr>
          <w:color w:val="000000"/>
        </w:rPr>
        <w:t xml:space="preserve"> and </w:t>
      </w:r>
      <w:r>
        <w:rPr>
          <w:b/>
          <w:color w:val="000000"/>
        </w:rPr>
        <w:t>Optional Receptor Region File</w:t>
      </w:r>
      <w:r>
        <w:rPr>
          <w:color w:val="000000"/>
        </w:rPr>
        <w:t>.</w:t>
      </w:r>
    </w:p>
    <w:p>
      <w:pPr>
        <w:widowControl w:val="0"/>
        <w:adjustRightInd/>
        <w:snapToGrid/>
        <w:spacing w:line="360" w:lineRule="auto"/>
        <w:ind w:firstLine="480" w:firstLineChars="200"/>
        <w:jc w:val="center"/>
        <w:rPr>
          <w:rFonts w:eastAsia="宋体" w:cs="Times New Roman"/>
          <w:szCs w:val="24"/>
        </w:rPr>
      </w:pPr>
      <w:r>
        <w:drawing>
          <wp:inline distT="0" distB="0" distL="0" distR="0">
            <wp:extent cx="2466975" cy="3228975"/>
            <wp:effectExtent l="0" t="0" r="0" b="0"/>
            <wp:docPr id="59" name="P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 17"/>
                    <pic:cNvPicPr>
                      <a:picLocks noChangeAspect="1"/>
                    </pic:cNvPicPr>
                  </pic:nvPicPr>
                  <pic:blipFill>
                    <a:blip r:embed="rId28" cstate="print"/>
                    <a:stretch>
                      <a:fillRect/>
                    </a:stretch>
                  </pic:blipFill>
                  <pic:spPr>
                    <a:xfrm>
                      <a:off x="0" y="0"/>
                      <a:ext cx="2466975" cy="3228975"/>
                    </a:xfrm>
                    <a:prstGeom prst="rect">
                      <a:avLst/>
                    </a:prstGeom>
                  </pic:spPr>
                </pic:pic>
              </a:graphicData>
            </a:graphic>
          </wp:inline>
        </w:drawing>
      </w:r>
    </w:p>
    <w:p>
      <w:pPr>
        <w:pStyle w:val="11"/>
        <w:spacing w:line="360" w:lineRule="auto"/>
        <w:ind w:firstLine="240"/>
      </w:pPr>
      <w:bookmarkStart w:id="87" w:name="_Toc43734198"/>
      <w:bookmarkStart w:id="88" w:name="_Toc122982111"/>
      <w:r>
        <w:t xml:space="preserve">Figure </w:t>
      </w:r>
      <w:r>
        <w:fldChar w:fldCharType="begin"/>
      </w:r>
      <w:r>
        <w:instrText xml:space="preserve"> SEQ Fig. \* ARABIC </w:instrText>
      </w:r>
      <w:r>
        <w:fldChar w:fldCharType="separate"/>
      </w:r>
      <w:r>
        <w:t>16</w:t>
      </w:r>
      <w:r>
        <w:fldChar w:fldCharType="end"/>
      </w:r>
      <w:r>
        <w:t>. Input option for OSAT/PSAT/APCA/ISAM method</w:t>
      </w:r>
      <w:bookmarkEnd w:id="87"/>
      <w:bookmarkEnd w:id="88"/>
    </w:p>
    <w:p>
      <w:pPr>
        <w:spacing w:line="360" w:lineRule="auto"/>
      </w:pPr>
    </w:p>
    <w:p>
      <w:pPr>
        <w:pStyle w:val="65"/>
        <w:spacing w:line="360" w:lineRule="auto"/>
      </w:pPr>
      <w:r>
        <w:rPr>
          <w:b/>
        </w:rPr>
        <w:t xml:space="preserve">Data Input Type: </w:t>
      </w:r>
      <w:r>
        <w:t>allows the user to specify the format of the input file (Daily, Seasonal Average for O</w:t>
      </w:r>
      <w:r>
        <w:rPr>
          <w:vertAlign w:val="subscript"/>
        </w:rPr>
        <w:t>3</w:t>
      </w:r>
      <w:r>
        <w:t>-MDA8 (May-Sept.), Seasonal Average for O</w:t>
      </w:r>
      <w:r>
        <w:rPr>
          <w:vertAlign w:val="subscript"/>
        </w:rPr>
        <w:t>3</w:t>
      </w:r>
      <w:r>
        <w:t>-MDA1 (April-Oct.).</w:t>
      </w:r>
    </w:p>
    <w:p>
      <w:pPr>
        <w:pStyle w:val="65"/>
        <w:spacing w:line="360" w:lineRule="auto"/>
      </w:pPr>
      <w:r>
        <w:rPr>
          <w:b/>
        </w:rPr>
        <w:t>Source Apportionment Data Input File:</w:t>
      </w:r>
      <w:r>
        <w:t xml:space="preserve"> allows the user to specify the file name and path of the input model data. The </w:t>
      </w:r>
      <w:r>
        <w:rPr>
          <w:b/>
        </w:rPr>
        <w:t>OSAT/PSAT</w:t>
      </w:r>
      <w:r>
        <w:t xml:space="preserve"> method requires the Comprehensive Air Quality Model with Extensions (CAMx) model data. The </w:t>
      </w:r>
      <w:r>
        <w:rPr>
          <w:b/>
        </w:rPr>
        <w:t>ISAM</w:t>
      </w:r>
      <w:r>
        <w:t xml:space="preserve"> method requires the Community Multiscale Air Quality (CMAQ) model data.</w:t>
      </w:r>
    </w:p>
    <w:p>
      <w:pPr>
        <w:pStyle w:val="65"/>
        <w:spacing w:line="360" w:lineRule="auto"/>
      </w:pPr>
      <w:r>
        <w:rPr>
          <w:b/>
          <w:color w:val="000000"/>
        </w:rPr>
        <w:t>Source Apportionment Mapping File:</w:t>
      </w:r>
      <w:r>
        <w:rPr>
          <w:color w:val="000000"/>
        </w:rPr>
        <w:t xml:space="preserve"> A *.csv file, which is used to link the tagged variables of CAMx model data with control factors (Region, Pollutant, Source) of FAST-CE.</w:t>
      </w:r>
    </w:p>
    <w:p>
      <w:pPr>
        <w:pStyle w:val="65"/>
        <w:spacing w:line="360" w:lineRule="auto"/>
      </w:pPr>
      <w:r>
        <w:rPr>
          <w:b/>
        </w:rPr>
        <w:t>Optional Receptor Region File:</w:t>
      </w:r>
      <w:r>
        <w:t xml:space="preserve"> A *.csv file which defines the grids of the analyzed receptors.</w:t>
      </w:r>
    </w:p>
    <w:p>
      <w:pPr>
        <w:pStyle w:val="4"/>
      </w:pPr>
      <w:bookmarkStart w:id="89" w:name="_Toc122982061"/>
      <w:r>
        <w:t>Input option for RSM method</w:t>
      </w:r>
      <w:bookmarkEnd w:id="89"/>
    </w:p>
    <w:p>
      <w:pPr>
        <w:spacing w:line="360" w:lineRule="auto"/>
        <w:ind w:firstLine="240"/>
      </w:pPr>
      <w:r>
        <w:rPr>
          <w:color w:val="000000"/>
        </w:rPr>
        <w:t xml:space="preserve">For the </w:t>
      </w:r>
      <w:r>
        <w:rPr>
          <w:b/>
          <w:color w:val="000000"/>
        </w:rPr>
        <w:t xml:space="preserve">RSM </w:t>
      </w:r>
      <w:r>
        <w:rPr>
          <w:color w:val="000000"/>
        </w:rPr>
        <w:t>method</w:t>
      </w:r>
      <w:r>
        <w:rPr>
          <w:b/>
          <w:color w:val="000000"/>
        </w:rPr>
        <w:t xml:space="preserve">, </w:t>
      </w:r>
      <w:r>
        <w:rPr>
          <w:color w:val="000000"/>
        </w:rPr>
        <w:t xml:space="preserve">there are two necessary sub-options: </w:t>
      </w:r>
      <w:r>
        <w:rPr>
          <w:b/>
          <w:color w:val="000000"/>
        </w:rPr>
        <w:t>Input RSM File</w:t>
      </w:r>
      <w:r>
        <w:rPr>
          <w:color w:val="000000"/>
        </w:rPr>
        <w:t xml:space="preserve"> and </w:t>
      </w:r>
      <w:r>
        <w:rPr>
          <w:b/>
          <w:color w:val="000000"/>
        </w:rPr>
        <w:t>Optional</w:t>
      </w:r>
      <w:r>
        <w:rPr>
          <w:color w:val="000000"/>
        </w:rPr>
        <w:t xml:space="preserve"> </w:t>
      </w:r>
      <w:r>
        <w:rPr>
          <w:b/>
          <w:color w:val="000000"/>
        </w:rPr>
        <w:t>Receptor Region File</w:t>
      </w:r>
      <w:r>
        <w:rPr>
          <w:color w:val="000000"/>
        </w:rPr>
        <w:t>.</w:t>
      </w:r>
    </w:p>
    <w:p>
      <w:pPr>
        <w:spacing w:line="360" w:lineRule="auto"/>
      </w:pPr>
    </w:p>
    <w:p>
      <w:pPr>
        <w:widowControl w:val="0"/>
        <w:adjustRightInd/>
        <w:snapToGrid/>
        <w:spacing w:line="360" w:lineRule="auto"/>
        <w:jc w:val="center"/>
        <w:rPr>
          <w:rFonts w:cs="Times New Roman" w:eastAsiaTheme="minorEastAsia"/>
          <w:kern w:val="2"/>
          <w:szCs w:val="24"/>
        </w:rPr>
      </w:pPr>
      <w:r>
        <w:drawing>
          <wp:inline distT="0" distB="0" distL="0" distR="0">
            <wp:extent cx="3200400" cy="4505325"/>
            <wp:effectExtent l="0" t="0" r="0" b="0"/>
            <wp:docPr id="60" name="P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 18"/>
                    <pic:cNvPicPr>
                      <a:picLocks noChangeAspect="1"/>
                    </pic:cNvPicPr>
                  </pic:nvPicPr>
                  <pic:blipFill>
                    <a:blip r:embed="rId29" cstate="print"/>
                    <a:stretch>
                      <a:fillRect/>
                    </a:stretch>
                  </pic:blipFill>
                  <pic:spPr>
                    <a:xfrm>
                      <a:off x="0" y="0"/>
                      <a:ext cx="3200400" cy="4505325"/>
                    </a:xfrm>
                    <a:prstGeom prst="rect">
                      <a:avLst/>
                    </a:prstGeom>
                  </pic:spPr>
                </pic:pic>
              </a:graphicData>
            </a:graphic>
          </wp:inline>
        </w:drawing>
      </w:r>
    </w:p>
    <w:p>
      <w:pPr>
        <w:pStyle w:val="11"/>
        <w:spacing w:line="360" w:lineRule="auto"/>
        <w:ind w:firstLine="240"/>
      </w:pPr>
      <w:bookmarkStart w:id="90" w:name="_Toc43734199"/>
      <w:bookmarkStart w:id="91" w:name="_Toc122982112"/>
      <w:r>
        <w:t xml:space="preserve">Figure </w:t>
      </w:r>
      <w:r>
        <w:fldChar w:fldCharType="begin"/>
      </w:r>
      <w:r>
        <w:instrText xml:space="preserve"> SEQ Fig. \* ARABIC </w:instrText>
      </w:r>
      <w:r>
        <w:fldChar w:fldCharType="separate"/>
      </w:r>
      <w:r>
        <w:t>17</w:t>
      </w:r>
      <w:r>
        <w:fldChar w:fldCharType="end"/>
      </w:r>
      <w:r>
        <w:t>. Input option for RSM method</w:t>
      </w:r>
      <w:bookmarkEnd w:id="90"/>
      <w:bookmarkEnd w:id="91"/>
    </w:p>
    <w:p>
      <w:pPr>
        <w:spacing w:line="360" w:lineRule="auto"/>
      </w:pPr>
    </w:p>
    <w:p>
      <w:pPr>
        <w:pStyle w:val="65"/>
        <w:spacing w:line="360" w:lineRule="auto"/>
      </w:pPr>
      <w:r>
        <w:rPr>
          <w:b/>
        </w:rPr>
        <w:t>Input RSM File:</w:t>
      </w:r>
      <w:r>
        <w:t xml:space="preserve"> </w:t>
      </w:r>
      <w:bookmarkStart w:id="92" w:name="_Hlk29543353"/>
      <w:r>
        <w:t>Specify the path and name of a pre-run RSM file, created by RSM-VAT.</w:t>
      </w:r>
      <w:bookmarkEnd w:id="92"/>
    </w:p>
    <w:p>
      <w:pPr>
        <w:pStyle w:val="65"/>
        <w:spacing w:line="360" w:lineRule="auto"/>
        <w:rPr>
          <w:rFonts w:eastAsiaTheme="minorEastAsia"/>
        </w:rPr>
      </w:pPr>
      <w:r>
        <w:rPr>
          <w:b/>
        </w:rPr>
        <w:t>Receptor Region File:</w:t>
      </w:r>
      <w:r>
        <w:t xml:space="preserve"> Specify the path and name of a</w:t>
      </w:r>
      <w:r>
        <w:rPr>
          <w:rFonts w:eastAsiaTheme="minorEastAsia"/>
        </w:rPr>
        <w:t xml:space="preserve"> *.txt file which defines the grids of the analyzed receptors.</w:t>
      </w:r>
    </w:p>
    <w:p>
      <w:pPr>
        <w:pStyle w:val="3"/>
      </w:pPr>
      <w:bookmarkStart w:id="93" w:name="_Hlk29510235"/>
      <w:bookmarkStart w:id="94" w:name="_Toc122982062"/>
      <w:r>
        <w:t>Emission &amp; Spatial Field Input Option</w:t>
      </w:r>
      <w:bookmarkEnd w:id="93"/>
      <w:bookmarkEnd w:id="94"/>
      <w:r>
        <w:t xml:space="preserve"> </w:t>
      </w:r>
    </w:p>
    <w:p>
      <w:pPr>
        <w:spacing w:line="360" w:lineRule="auto"/>
      </w:pPr>
      <w:r>
        <w:t>In this option, users should set up one or more control cases and provide corresponding emission data files. Different source contribution methods require different kinds of input files.</w:t>
      </w:r>
    </w:p>
    <w:p>
      <w:pPr>
        <w:spacing w:line="360" w:lineRule="auto"/>
        <w:jc w:val="center"/>
        <w:rPr>
          <w:rFonts w:cs="Times New Roman"/>
          <w:szCs w:val="24"/>
        </w:rPr>
      </w:pPr>
      <w:r>
        <w:drawing>
          <wp:inline distT="0" distB="0" distL="0" distR="0">
            <wp:extent cx="5274310" cy="3512185"/>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274310" cy="3512185"/>
                    </a:xfrm>
                    <a:prstGeom prst="rect">
                      <a:avLst/>
                    </a:prstGeom>
                    <a:noFill/>
                    <a:ln>
                      <a:noFill/>
                    </a:ln>
                  </pic:spPr>
                </pic:pic>
              </a:graphicData>
            </a:graphic>
          </wp:inline>
        </w:drawing>
      </w:r>
    </w:p>
    <w:p>
      <w:pPr>
        <w:pStyle w:val="11"/>
        <w:spacing w:line="360" w:lineRule="auto"/>
        <w:ind w:firstLine="240"/>
        <w:rPr>
          <w:rFonts w:cs="Times New Roman"/>
          <w:szCs w:val="24"/>
        </w:rPr>
      </w:pPr>
      <w:bookmarkStart w:id="95" w:name="_Toc122982113"/>
      <w:bookmarkStart w:id="96" w:name="_Toc43734200"/>
      <w:r>
        <w:t xml:space="preserve">Figure </w:t>
      </w:r>
      <w:r>
        <w:fldChar w:fldCharType="begin"/>
      </w:r>
      <w:r>
        <w:instrText xml:space="preserve"> SEQ Fig. \* ARABIC </w:instrText>
      </w:r>
      <w:r>
        <w:fldChar w:fldCharType="separate"/>
      </w:r>
      <w:r>
        <w:t>18</w:t>
      </w:r>
      <w:r>
        <w:fldChar w:fldCharType="end"/>
      </w:r>
      <w:r>
        <w:t>. Emission &amp; Spatial Field Input Option</w:t>
      </w:r>
      <w:bookmarkEnd w:id="95"/>
      <w:bookmarkEnd w:id="96"/>
    </w:p>
    <w:p>
      <w:pPr>
        <w:pStyle w:val="4"/>
      </w:pPr>
      <w:bookmarkStart w:id="97" w:name="_Toc122982063"/>
      <w:r>
        <w:t>Emission &amp; Spatial Field Input option for OSAT/PSAT/APCA/ISAM method</w:t>
      </w:r>
      <w:bookmarkEnd w:id="97"/>
    </w:p>
    <w:p>
      <w:pPr>
        <w:spacing w:line="360" w:lineRule="auto"/>
        <w:ind w:firstLine="240"/>
      </w:pPr>
      <w:r>
        <w:rPr>
          <w:color w:val="000000"/>
        </w:rPr>
        <w:t xml:space="preserve">For OSAT/PSAT/APCA/ISAM method, there are two necessary sub-options: </w:t>
      </w:r>
      <w:r>
        <w:rPr>
          <w:b/>
          <w:color w:val="000000"/>
        </w:rPr>
        <w:t xml:space="preserve">Baseline AQ Data Input </w:t>
      </w:r>
      <w:r>
        <w:rPr>
          <w:color w:val="000000"/>
        </w:rPr>
        <w:t xml:space="preserve">and </w:t>
      </w:r>
      <w:r>
        <w:rPr>
          <w:b/>
          <w:color w:val="000000"/>
        </w:rPr>
        <w:t>Input Cases &amp; Emission Files.</w:t>
      </w:r>
    </w:p>
    <w:p>
      <w:pPr>
        <w:widowControl w:val="0"/>
        <w:adjustRightInd/>
        <w:snapToGrid/>
        <w:spacing w:line="360" w:lineRule="auto"/>
        <w:ind w:firstLine="112" w:firstLineChars="47"/>
        <w:jc w:val="center"/>
        <w:rPr>
          <w:rFonts w:eastAsia="宋体" w:cs="Times New Roman"/>
          <w:szCs w:val="24"/>
        </w:rPr>
      </w:pPr>
      <w:r>
        <w:drawing>
          <wp:inline distT="0" distB="0" distL="0" distR="0">
            <wp:extent cx="2676525" cy="4943475"/>
            <wp:effectExtent l="0" t="0" r="0" b="0"/>
            <wp:docPr id="62" name="P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 20"/>
                    <pic:cNvPicPr>
                      <a:picLocks noChangeAspect="1"/>
                    </pic:cNvPicPr>
                  </pic:nvPicPr>
                  <pic:blipFill>
                    <a:blip r:embed="rId31" cstate="print"/>
                    <a:stretch>
                      <a:fillRect/>
                    </a:stretch>
                  </pic:blipFill>
                  <pic:spPr>
                    <a:xfrm>
                      <a:off x="0" y="0"/>
                      <a:ext cx="2676525" cy="4943475"/>
                    </a:xfrm>
                    <a:prstGeom prst="rect">
                      <a:avLst/>
                    </a:prstGeom>
                  </pic:spPr>
                </pic:pic>
              </a:graphicData>
            </a:graphic>
          </wp:inline>
        </w:drawing>
      </w:r>
    </w:p>
    <w:p>
      <w:pPr>
        <w:pStyle w:val="11"/>
        <w:spacing w:line="360" w:lineRule="auto"/>
        <w:ind w:firstLine="240"/>
      </w:pPr>
      <w:bookmarkStart w:id="98" w:name="_Toc43734201"/>
      <w:bookmarkStart w:id="99" w:name="_Toc122982114"/>
      <w:r>
        <w:t xml:space="preserve">Figure </w:t>
      </w:r>
      <w:r>
        <w:fldChar w:fldCharType="begin"/>
      </w:r>
      <w:r>
        <w:instrText xml:space="preserve"> SEQ Fig. \* ARABIC </w:instrText>
      </w:r>
      <w:r>
        <w:fldChar w:fldCharType="separate"/>
      </w:r>
      <w:r>
        <w:t>19</w:t>
      </w:r>
      <w:r>
        <w:fldChar w:fldCharType="end"/>
      </w:r>
      <w:r>
        <w:t xml:space="preserve">. </w:t>
      </w:r>
      <w:bookmarkEnd w:id="98"/>
      <w:r>
        <w:rPr>
          <w:lang w:bidi="en-US"/>
        </w:rPr>
        <w:t>Baseline AQ Surface &amp; Emissions Input Option for OSAT/PSAT/APCA/ISAM Method</w:t>
      </w:r>
      <w:bookmarkEnd w:id="99"/>
    </w:p>
    <w:p>
      <w:pPr>
        <w:spacing w:line="360" w:lineRule="auto"/>
      </w:pPr>
    </w:p>
    <w:p>
      <w:pPr>
        <w:pStyle w:val="65"/>
        <w:spacing w:line="360" w:lineRule="auto"/>
      </w:pPr>
      <w:bookmarkStart w:id="100" w:name="_Hlk29543493"/>
      <w:r>
        <w:rPr>
          <w:b/>
          <w:color w:val="000000"/>
        </w:rPr>
        <w:t xml:space="preserve">Baseline AQ Data Input: </w:t>
      </w:r>
      <w:r>
        <w:rPr>
          <w:color w:val="000000"/>
        </w:rPr>
        <w:t>Allow the user to set up the baseline AQ data, including using TOTAL contribution as Baseline AQ input, using Baseline AQ data file and using monitor point (DVs) data file</w:t>
      </w:r>
      <w:r>
        <w:t>.</w:t>
      </w:r>
      <w:bookmarkEnd w:id="100"/>
      <w:bookmarkStart w:id="101" w:name="_Hlk29543555"/>
    </w:p>
    <w:bookmarkEnd w:id="101"/>
    <w:p>
      <w:pPr>
        <w:pStyle w:val="65"/>
        <w:spacing w:line="360" w:lineRule="auto"/>
        <w:rPr>
          <w:rFonts w:eastAsiaTheme="minorEastAsia"/>
        </w:rPr>
      </w:pPr>
      <w:bookmarkStart w:id="102" w:name="_Hlk29543570"/>
      <w:r>
        <w:rPr>
          <w:rFonts w:eastAsiaTheme="minorEastAsia"/>
          <w:b/>
        </w:rPr>
        <w:t xml:space="preserve">Input Cases &amp; Emission Files: </w:t>
      </w:r>
      <w:r>
        <w:rPr>
          <w:rFonts w:eastAsiaTheme="minorEastAsia"/>
        </w:rPr>
        <w:t>A *.csv formatted file describes the configuration information of base &amp; control cases and corresponding emission data.</w:t>
      </w:r>
    </w:p>
    <w:bookmarkEnd w:id="102"/>
    <w:p>
      <w:pPr>
        <w:pStyle w:val="4"/>
      </w:pPr>
      <w:bookmarkStart w:id="103" w:name="_Toc122982064"/>
      <w:r>
        <w:t>Emission &amp; Spatial Field Input option for RSM method</w:t>
      </w:r>
      <w:bookmarkEnd w:id="103"/>
    </w:p>
    <w:p>
      <w:pPr>
        <w:spacing w:line="360" w:lineRule="auto"/>
      </w:pPr>
      <w:r>
        <w:t xml:space="preserve">For the </w:t>
      </w:r>
      <w:r>
        <w:rPr>
          <w:b/>
        </w:rPr>
        <w:t xml:space="preserve">RSM </w:t>
      </w:r>
      <w:r>
        <w:t>method</w:t>
      </w:r>
      <w:r>
        <w:rPr>
          <w:b/>
        </w:rPr>
        <w:t xml:space="preserve">, </w:t>
      </w:r>
      <w:r>
        <w:t xml:space="preserve">users need to set up the </w:t>
      </w:r>
      <w:r>
        <w:rPr>
          <w:b/>
        </w:rPr>
        <w:t xml:space="preserve">Input Emission Matrix for RSM </w:t>
      </w:r>
      <w:r>
        <w:t>option.</w:t>
      </w:r>
    </w:p>
    <w:p>
      <w:pPr>
        <w:spacing w:line="360" w:lineRule="auto"/>
        <w:ind w:firstLine="240"/>
        <w:jc w:val="center"/>
        <w:rPr>
          <w:rFonts w:cs="Times New Roman"/>
          <w:szCs w:val="24"/>
        </w:rPr>
      </w:pPr>
      <w:r>
        <w:drawing>
          <wp:inline distT="0" distB="0" distL="0" distR="0">
            <wp:extent cx="3743325" cy="4876800"/>
            <wp:effectExtent l="0" t="0" r="0" b="0"/>
            <wp:docPr id="63" name="P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 21"/>
                    <pic:cNvPicPr>
                      <a:picLocks noChangeAspect="1"/>
                    </pic:cNvPicPr>
                  </pic:nvPicPr>
                  <pic:blipFill>
                    <a:blip r:embed="rId32" cstate="print"/>
                    <a:stretch>
                      <a:fillRect/>
                    </a:stretch>
                  </pic:blipFill>
                  <pic:spPr>
                    <a:xfrm>
                      <a:off x="0" y="0"/>
                      <a:ext cx="3743325" cy="4876800"/>
                    </a:xfrm>
                    <a:prstGeom prst="rect">
                      <a:avLst/>
                    </a:prstGeom>
                  </pic:spPr>
                </pic:pic>
              </a:graphicData>
            </a:graphic>
          </wp:inline>
        </w:drawing>
      </w:r>
    </w:p>
    <w:p>
      <w:pPr>
        <w:pStyle w:val="11"/>
        <w:spacing w:line="360" w:lineRule="auto"/>
        <w:ind w:firstLine="240"/>
        <w:rPr>
          <w:lang w:bidi="en-US"/>
        </w:rPr>
      </w:pPr>
      <w:bookmarkStart w:id="104" w:name="_Toc43734202"/>
      <w:bookmarkStart w:id="105" w:name="_Toc122982115"/>
      <w:r>
        <w:t xml:space="preserve">Figure </w:t>
      </w:r>
      <w:r>
        <w:fldChar w:fldCharType="begin"/>
      </w:r>
      <w:r>
        <w:instrText xml:space="preserve"> SEQ Fig. \* ARABIC </w:instrText>
      </w:r>
      <w:r>
        <w:fldChar w:fldCharType="separate"/>
      </w:r>
      <w:r>
        <w:t>20</w:t>
      </w:r>
      <w:r>
        <w:fldChar w:fldCharType="end"/>
      </w:r>
      <w:r>
        <w:t xml:space="preserve">. </w:t>
      </w:r>
      <w:bookmarkEnd w:id="104"/>
      <w:r>
        <w:rPr>
          <w:lang w:bidi="en-US"/>
        </w:rPr>
        <w:t>Baseline AQ Surface &amp; Emissions Input Option for RSM Method</w:t>
      </w:r>
      <w:bookmarkEnd w:id="105"/>
    </w:p>
    <w:p>
      <w:pPr>
        <w:spacing w:line="360" w:lineRule="auto"/>
      </w:pPr>
    </w:p>
    <w:p>
      <w:pPr>
        <w:pStyle w:val="65"/>
        <w:spacing w:line="360" w:lineRule="auto"/>
      </w:pPr>
      <w:r>
        <w:rPr>
          <w:b/>
        </w:rPr>
        <w:t xml:space="preserve">Emission Matrix for RSM: </w:t>
      </w:r>
      <w:r>
        <w:t>A *.csv file which exhibits the emission matrix of the baseline case and control cases for RSM analysis.</w:t>
      </w:r>
    </w:p>
    <w:p>
      <w:pPr>
        <w:pStyle w:val="3"/>
      </w:pPr>
      <w:bookmarkStart w:id="106" w:name="_Toc122982065"/>
      <w:bookmarkStart w:id="107" w:name="_Hlk29510269"/>
      <w:r>
        <w:t>QA/Validation Input Option</w:t>
      </w:r>
      <w:bookmarkEnd w:id="106"/>
      <w:bookmarkEnd w:id="107"/>
    </w:p>
    <w:p>
      <w:pPr>
        <w:spacing w:line="360" w:lineRule="auto"/>
        <w:ind w:firstLine="240"/>
      </w:pPr>
      <w:r>
        <w:rPr>
          <w:color w:val="000000"/>
        </w:rPr>
        <w:t xml:space="preserve">To validate the results of FAST-CE, the </w:t>
      </w:r>
      <w:r>
        <w:rPr>
          <w:b/>
          <w:color w:val="000000"/>
        </w:rPr>
        <w:t xml:space="preserve">QA and Comparison Option </w:t>
      </w:r>
      <w:r>
        <w:rPr>
          <w:color w:val="000000"/>
        </w:rPr>
        <w:t>module</w:t>
      </w:r>
      <w:r>
        <w:rPr>
          <w:b/>
          <w:color w:val="000000"/>
        </w:rPr>
        <w:t xml:space="preserve"> </w:t>
      </w:r>
      <w:r>
        <w:rPr>
          <w:color w:val="000000"/>
        </w:rPr>
        <w:t xml:space="preserve">allows users setting up validation cases. In this option, users need to input a </w:t>
      </w:r>
      <w:r>
        <w:rPr>
          <w:b/>
          <w:color w:val="000000"/>
        </w:rPr>
        <w:t>Validation Configuration File</w:t>
      </w:r>
      <w:r>
        <w:rPr>
          <w:color w:val="000000"/>
        </w:rPr>
        <w:t>, *.csv formatted file that describes QA data files for each FAST-CE case.</w:t>
      </w:r>
    </w:p>
    <w:p>
      <w:pPr>
        <w:spacing w:line="360" w:lineRule="auto"/>
        <w:ind w:firstLine="240"/>
        <w:rPr>
          <w:rFonts w:cs="Times New Roman"/>
          <w:szCs w:val="24"/>
        </w:rPr>
      </w:pPr>
    </w:p>
    <w:p>
      <w:pPr>
        <w:spacing w:line="360" w:lineRule="auto"/>
        <w:jc w:val="center"/>
        <w:rPr>
          <w:rFonts w:cs="Times New Roman"/>
          <w:szCs w:val="24"/>
        </w:rPr>
      </w:pPr>
      <w:r>
        <w:drawing>
          <wp:inline distT="0" distB="0" distL="0" distR="0">
            <wp:extent cx="5274310" cy="3827145"/>
            <wp:effectExtent l="0" t="0" r="2540" b="1905"/>
            <wp:docPr id="513" name="P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 22"/>
                    <pic:cNvPicPr>
                      <a:picLocks noChangeAspect="1"/>
                    </pic:cNvPicPr>
                  </pic:nvPicPr>
                  <pic:blipFill>
                    <a:blip r:embed="rId33" cstate="print"/>
                    <a:stretch>
                      <a:fillRect/>
                    </a:stretch>
                  </pic:blipFill>
                  <pic:spPr>
                    <a:xfrm>
                      <a:off x="0" y="0"/>
                      <a:ext cx="5274310" cy="3827207"/>
                    </a:xfrm>
                    <a:prstGeom prst="rect">
                      <a:avLst/>
                    </a:prstGeom>
                  </pic:spPr>
                </pic:pic>
              </a:graphicData>
            </a:graphic>
          </wp:inline>
        </w:drawing>
      </w:r>
    </w:p>
    <w:p>
      <w:pPr>
        <w:pStyle w:val="11"/>
        <w:spacing w:line="360" w:lineRule="auto"/>
        <w:ind w:firstLine="240"/>
      </w:pPr>
      <w:bookmarkStart w:id="108" w:name="_Toc43734203"/>
      <w:bookmarkStart w:id="109" w:name="_Toc122982116"/>
      <w:r>
        <w:t xml:space="preserve">Figure </w:t>
      </w:r>
      <w:r>
        <w:fldChar w:fldCharType="begin"/>
      </w:r>
      <w:r>
        <w:instrText xml:space="preserve"> SEQ Fig. \* ARABIC </w:instrText>
      </w:r>
      <w:r>
        <w:fldChar w:fldCharType="separate"/>
      </w:r>
      <w:r>
        <w:t>21</w:t>
      </w:r>
      <w:r>
        <w:fldChar w:fldCharType="end"/>
      </w:r>
      <w:r>
        <w:t>. QA/Validation Input Option</w:t>
      </w:r>
      <w:bookmarkEnd w:id="108"/>
      <w:bookmarkEnd w:id="109"/>
    </w:p>
    <w:p>
      <w:pPr>
        <w:spacing w:line="360" w:lineRule="auto"/>
      </w:pPr>
    </w:p>
    <w:p>
      <w:pPr>
        <w:spacing w:line="360" w:lineRule="auto"/>
      </w:pPr>
      <w:r>
        <w:t xml:space="preserve">After the input settings are completed, users click “Next” to start running FAST-CE. Users can view the running messages through “Log/Msg”, as shown in </w:t>
      </w:r>
      <w:r>
        <w:fldChar w:fldCharType="begin"/>
      </w:r>
      <w:r>
        <w:instrText xml:space="preserve"> REF _Ref43663511 \h  \* MERGEFORMAT </w:instrText>
      </w:r>
      <w:r>
        <w:fldChar w:fldCharType="separate"/>
      </w:r>
      <w:r>
        <w:t>Figure 22</w:t>
      </w:r>
      <w:r>
        <w:fldChar w:fldCharType="end"/>
      </w:r>
      <w:r>
        <w:t>.</w:t>
      </w:r>
    </w:p>
    <w:p>
      <w:pPr>
        <w:pStyle w:val="50"/>
        <w:spacing w:line="360" w:lineRule="auto"/>
        <w:ind w:firstLine="480"/>
      </w:pPr>
    </w:p>
    <w:p>
      <w:pPr>
        <w:spacing w:line="360" w:lineRule="auto"/>
        <w:jc w:val="center"/>
        <w:rPr>
          <w:rFonts w:eastAsia="宋体" w:cs="Times New Roman"/>
          <w:szCs w:val="24"/>
        </w:rPr>
      </w:pPr>
      <w:r>
        <w:drawing>
          <wp:inline distT="0" distB="0" distL="0" distR="0">
            <wp:extent cx="5274310" cy="3808095"/>
            <wp:effectExtent l="0" t="0" r="2540" b="1905"/>
            <wp:docPr id="515" name="P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 23"/>
                    <pic:cNvPicPr>
                      <a:picLocks noChangeAspect="1"/>
                    </pic:cNvPicPr>
                  </pic:nvPicPr>
                  <pic:blipFill>
                    <a:blip r:embed="rId34" cstate="print"/>
                    <a:stretch>
                      <a:fillRect/>
                    </a:stretch>
                  </pic:blipFill>
                  <pic:spPr>
                    <a:xfrm>
                      <a:off x="0" y="0"/>
                      <a:ext cx="5274310" cy="3808166"/>
                    </a:xfrm>
                    <a:prstGeom prst="rect">
                      <a:avLst/>
                    </a:prstGeom>
                  </pic:spPr>
                </pic:pic>
              </a:graphicData>
            </a:graphic>
          </wp:inline>
        </w:drawing>
      </w:r>
    </w:p>
    <w:p>
      <w:pPr>
        <w:pStyle w:val="11"/>
        <w:spacing w:line="360" w:lineRule="auto"/>
        <w:ind w:firstLine="240"/>
      </w:pPr>
      <w:bookmarkStart w:id="110" w:name="_Ref43663511"/>
      <w:bookmarkStart w:id="111" w:name="_Toc122982117"/>
      <w:bookmarkStart w:id="112" w:name="_Toc43734204"/>
      <w:r>
        <w:t xml:space="preserve">Figure </w:t>
      </w:r>
      <w:r>
        <w:fldChar w:fldCharType="begin"/>
      </w:r>
      <w:r>
        <w:instrText xml:space="preserve"> SEQ Fig. \* ARABIC </w:instrText>
      </w:r>
      <w:r>
        <w:fldChar w:fldCharType="separate"/>
      </w:r>
      <w:r>
        <w:t>22</w:t>
      </w:r>
      <w:r>
        <w:fldChar w:fldCharType="end"/>
      </w:r>
      <w:bookmarkEnd w:id="110"/>
      <w:r>
        <w:t>. Running FAST-CE</w:t>
      </w:r>
      <w:bookmarkEnd w:id="111"/>
      <w:bookmarkEnd w:id="112"/>
    </w:p>
    <w:p>
      <w:pPr>
        <w:pStyle w:val="3"/>
      </w:pPr>
      <w:bookmarkStart w:id="113" w:name="_Toc122982066"/>
      <w:r>
        <w:t>Input File Validation Option</w:t>
      </w:r>
      <w:bookmarkEnd w:id="113"/>
    </w:p>
    <w:p>
      <w:pPr>
        <w:spacing w:line="360" w:lineRule="auto"/>
      </w:pPr>
      <w:r>
        <w:t xml:space="preserve">When click "Next" button or the "Check Data" button, FAST-CE can detect and validate the in-put data files.  </w:t>
      </w:r>
    </w:p>
    <w:p>
      <w:pPr>
        <w:spacing w:line="360" w:lineRule="auto"/>
      </w:pPr>
      <w:r>
        <w:t>There will be three different results:</w:t>
      </w:r>
    </w:p>
    <w:p>
      <w:pPr>
        <w:spacing w:line="360" w:lineRule="auto"/>
      </w:pPr>
      <w:r>
        <w:t xml:space="preserve">(1) The input data is invalid, which means FAST-CE can’t run into next step until the invalid data file gets fixed. In this case, one or more pop-up message boxes/windows will display and the bottom icon will display like this </w:t>
      </w:r>
      <w:r>
        <w:drawing>
          <wp:inline distT="0" distB="0" distL="0" distR="0">
            <wp:extent cx="504825" cy="257175"/>
            <wp:effectExtent l="0" t="0" r="0" b="0"/>
            <wp:docPr id="517" name="P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 24"/>
                    <pic:cNvPicPr>
                      <a:picLocks noChangeAspect="1"/>
                    </pic:cNvPicPr>
                  </pic:nvPicPr>
                  <pic:blipFill>
                    <a:blip r:embed="rId35" cstate="print"/>
                    <a:stretch>
                      <a:fillRect/>
                    </a:stretch>
                  </pic:blipFill>
                  <pic:spPr>
                    <a:xfrm>
                      <a:off x="0" y="0"/>
                      <a:ext cx="504825" cy="257175"/>
                    </a:xfrm>
                    <a:prstGeom prst="rect">
                      <a:avLst/>
                    </a:prstGeom>
                  </pic:spPr>
                </pic:pic>
              </a:graphicData>
            </a:graphic>
          </wp:inline>
        </w:drawing>
      </w:r>
      <w:r>
        <w:rPr>
          <w:rFonts w:hint="eastAsia"/>
        </w:rPr>
        <w:t>.</w:t>
      </w:r>
    </w:p>
    <w:p>
      <w:pPr>
        <w:pStyle w:val="11"/>
        <w:spacing w:line="360" w:lineRule="auto"/>
        <w:ind w:firstLine="240"/>
      </w:pPr>
      <w:r>
        <w:drawing>
          <wp:inline distT="0" distB="0" distL="0" distR="0">
            <wp:extent cx="5274310" cy="3979545"/>
            <wp:effectExtent l="0" t="0" r="2540" b="1905"/>
            <wp:docPr id="518" name="P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 25"/>
                    <pic:cNvPicPr>
                      <a:picLocks noChangeAspect="1"/>
                    </pic:cNvPicPr>
                  </pic:nvPicPr>
                  <pic:blipFill>
                    <a:blip r:embed="rId36" cstate="print"/>
                    <a:stretch>
                      <a:fillRect/>
                    </a:stretch>
                  </pic:blipFill>
                  <pic:spPr>
                    <a:xfrm>
                      <a:off x="0" y="0"/>
                      <a:ext cx="5274310" cy="3979947"/>
                    </a:xfrm>
                    <a:prstGeom prst="rect">
                      <a:avLst/>
                    </a:prstGeom>
                  </pic:spPr>
                </pic:pic>
              </a:graphicData>
            </a:graphic>
          </wp:inline>
        </w:drawing>
      </w:r>
      <w:r>
        <w:t xml:space="preserve"> </w:t>
      </w:r>
    </w:p>
    <w:p>
      <w:pPr>
        <w:pStyle w:val="11"/>
        <w:spacing w:line="360" w:lineRule="auto"/>
        <w:ind w:firstLine="240"/>
        <w:rPr>
          <w:lang w:bidi="en-US"/>
        </w:rPr>
      </w:pPr>
      <w:bookmarkStart w:id="114" w:name="_Toc122982118"/>
      <w:r>
        <w:t xml:space="preserve">Figure </w:t>
      </w:r>
      <w:r>
        <w:fldChar w:fldCharType="begin"/>
      </w:r>
      <w:r>
        <w:instrText xml:space="preserve"> SEQ Fig. \* ARABIC </w:instrText>
      </w:r>
      <w:r>
        <w:fldChar w:fldCharType="separate"/>
      </w:r>
      <w:r>
        <w:t>23</w:t>
      </w:r>
      <w:r>
        <w:fldChar w:fldCharType="end"/>
      </w:r>
      <w:r>
        <w:t xml:space="preserve">. </w:t>
      </w:r>
      <w:r>
        <w:rPr>
          <w:lang w:bidi="en-US"/>
        </w:rPr>
        <w:t>Data Invalid Warnings</w:t>
      </w:r>
      <w:bookmarkEnd w:id="114"/>
    </w:p>
    <w:p>
      <w:pPr>
        <w:rPr>
          <w:lang w:bidi="en-US"/>
        </w:rPr>
      </w:pPr>
    </w:p>
    <w:p>
      <w:pPr>
        <w:spacing w:line="360" w:lineRule="auto"/>
      </w:pPr>
      <w:r>
        <w:rPr>
          <w:color w:val="000000"/>
        </w:rPr>
        <w:t xml:space="preserve">(2) In some cases, the input data files are accepted, but the contents may not be reasonable. FAST-CE will provide some warnings. The bottom icon will turn to </w:t>
      </w:r>
      <w:r>
        <w:drawing>
          <wp:inline distT="0" distB="0" distL="0" distR="0">
            <wp:extent cx="457200" cy="171450"/>
            <wp:effectExtent l="0" t="0" r="0" b="0"/>
            <wp:docPr id="521" name="P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 26"/>
                    <pic:cNvPicPr>
                      <a:picLocks noChangeAspect="1"/>
                    </pic:cNvPicPr>
                  </pic:nvPicPr>
                  <pic:blipFill>
                    <a:blip r:embed="rId37" cstate="print"/>
                    <a:stretch>
                      <a:fillRect/>
                    </a:stretch>
                  </pic:blipFill>
                  <pic:spPr>
                    <a:xfrm>
                      <a:off x="0" y="0"/>
                      <a:ext cx="457200" cy="171450"/>
                    </a:xfrm>
                    <a:prstGeom prst="rect">
                      <a:avLst/>
                    </a:prstGeom>
                  </pic:spPr>
                </pic:pic>
              </a:graphicData>
            </a:graphic>
          </wp:inline>
        </w:drawing>
      </w:r>
      <w:r>
        <w:rPr>
          <w:color w:val="000000"/>
        </w:rPr>
        <w:t>. In this case, the warning window will not display automatically. User need to click the bottom icon manually to display the window.</w:t>
      </w:r>
    </w:p>
    <w:p>
      <w:pPr>
        <w:pStyle w:val="11"/>
        <w:spacing w:line="360" w:lineRule="auto"/>
        <w:ind w:firstLine="240"/>
      </w:pPr>
      <w:r>
        <w:drawing>
          <wp:inline distT="0" distB="0" distL="0" distR="0">
            <wp:extent cx="5274310" cy="2456180"/>
            <wp:effectExtent l="0" t="0" r="2540" b="1270"/>
            <wp:docPr id="522" name="P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 27"/>
                    <pic:cNvPicPr>
                      <a:picLocks noChangeAspect="1"/>
                    </pic:cNvPicPr>
                  </pic:nvPicPr>
                  <pic:blipFill>
                    <a:blip r:embed="rId38" cstate="print"/>
                    <a:stretch>
                      <a:fillRect/>
                    </a:stretch>
                  </pic:blipFill>
                  <pic:spPr>
                    <a:xfrm>
                      <a:off x="0" y="0"/>
                      <a:ext cx="5274310" cy="2456649"/>
                    </a:xfrm>
                    <a:prstGeom prst="rect">
                      <a:avLst/>
                    </a:prstGeom>
                  </pic:spPr>
                </pic:pic>
              </a:graphicData>
            </a:graphic>
          </wp:inline>
        </w:drawing>
      </w:r>
      <w:r>
        <w:t xml:space="preserve"> </w:t>
      </w:r>
    </w:p>
    <w:p>
      <w:pPr>
        <w:pStyle w:val="11"/>
        <w:spacing w:line="360" w:lineRule="auto"/>
        <w:ind w:firstLine="240"/>
        <w:rPr>
          <w:lang w:bidi="en-US"/>
        </w:rPr>
      </w:pPr>
      <w:bookmarkStart w:id="115" w:name="_Toc122982119"/>
      <w:r>
        <w:t xml:space="preserve">Figure </w:t>
      </w:r>
      <w:r>
        <w:fldChar w:fldCharType="begin"/>
      </w:r>
      <w:r>
        <w:instrText xml:space="preserve"> SEQ Fig. \* ARABIC </w:instrText>
      </w:r>
      <w:r>
        <w:fldChar w:fldCharType="separate"/>
      </w:r>
      <w:r>
        <w:t>24</w:t>
      </w:r>
      <w:r>
        <w:fldChar w:fldCharType="end"/>
      </w:r>
      <w:r>
        <w:t xml:space="preserve">. </w:t>
      </w:r>
      <w:r>
        <w:rPr>
          <w:lang w:bidi="en-US"/>
        </w:rPr>
        <w:t>Data Unreasonable Warnings</w:t>
      </w:r>
      <w:bookmarkEnd w:id="115"/>
    </w:p>
    <w:p>
      <w:pPr>
        <w:rPr>
          <w:lang w:bidi="en-US"/>
        </w:rPr>
      </w:pPr>
    </w:p>
    <w:p>
      <w:pPr>
        <w:spacing w:line="360" w:lineRule="auto"/>
        <w:rPr>
          <w:lang w:bidi="en-US"/>
        </w:rPr>
      </w:pPr>
      <w:r>
        <w:rPr>
          <w:lang w:bidi="en-US"/>
        </w:rPr>
        <w:t>(3) If the input data files are acceptable and reasonable, the bottom icon will disappear.</w:t>
      </w:r>
    </w:p>
    <w:p>
      <w:pPr>
        <w:spacing w:line="360" w:lineRule="auto"/>
        <w:jc w:val="center"/>
        <w:rPr>
          <w:rFonts w:eastAsia="黑体" w:cstheme="majorBidi"/>
          <w:i/>
          <w:kern w:val="2"/>
          <w:sz w:val="20"/>
          <w:szCs w:val="20"/>
        </w:rPr>
      </w:pPr>
      <w:r>
        <w:drawing>
          <wp:inline distT="0" distB="0" distL="0" distR="0">
            <wp:extent cx="5274310" cy="3827145"/>
            <wp:effectExtent l="0" t="0" r="2540" b="1905"/>
            <wp:docPr id="525" name="P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 28"/>
                    <pic:cNvPicPr>
                      <a:picLocks noChangeAspect="1"/>
                    </pic:cNvPicPr>
                  </pic:nvPicPr>
                  <pic:blipFill>
                    <a:blip r:embed="rId39" cstate="print"/>
                    <a:stretch>
                      <a:fillRect/>
                    </a:stretch>
                  </pic:blipFill>
                  <pic:spPr>
                    <a:xfrm>
                      <a:off x="0" y="0"/>
                      <a:ext cx="5274310" cy="3827450"/>
                    </a:xfrm>
                    <a:prstGeom prst="rect">
                      <a:avLst/>
                    </a:prstGeom>
                  </pic:spPr>
                </pic:pic>
              </a:graphicData>
            </a:graphic>
          </wp:inline>
        </w:drawing>
      </w:r>
    </w:p>
    <w:p>
      <w:pPr>
        <w:spacing w:line="360" w:lineRule="auto"/>
        <w:jc w:val="center"/>
        <w:rPr>
          <w:lang w:bidi="en-US"/>
        </w:rPr>
      </w:pPr>
      <w:bookmarkStart w:id="116" w:name="_Toc122982120"/>
      <w:r>
        <w:rPr>
          <w:rFonts w:eastAsia="黑体" w:cstheme="majorBidi"/>
          <w:i/>
          <w:kern w:val="2"/>
          <w:sz w:val="20"/>
          <w:szCs w:val="20"/>
        </w:rPr>
        <w:t xml:space="preserve">Figure </w:t>
      </w:r>
      <w:r>
        <w:rPr>
          <w:rFonts w:eastAsia="黑体" w:cstheme="majorBidi"/>
          <w:i/>
          <w:kern w:val="2"/>
          <w:sz w:val="20"/>
          <w:szCs w:val="20"/>
        </w:rPr>
        <w:fldChar w:fldCharType="begin"/>
      </w:r>
      <w:r>
        <w:rPr>
          <w:rFonts w:eastAsia="黑体" w:cstheme="majorBidi"/>
          <w:i/>
          <w:kern w:val="2"/>
          <w:sz w:val="20"/>
          <w:szCs w:val="20"/>
        </w:rPr>
        <w:instrText xml:space="preserve"> SEQ Fig. \* ARABIC </w:instrText>
      </w:r>
      <w:r>
        <w:rPr>
          <w:rFonts w:eastAsia="黑体" w:cstheme="majorBidi"/>
          <w:i/>
          <w:kern w:val="2"/>
          <w:sz w:val="20"/>
          <w:szCs w:val="20"/>
        </w:rPr>
        <w:fldChar w:fldCharType="separate"/>
      </w:r>
      <w:r>
        <w:rPr>
          <w:rFonts w:eastAsia="黑体" w:cstheme="majorBidi"/>
          <w:i/>
          <w:kern w:val="2"/>
          <w:sz w:val="20"/>
          <w:szCs w:val="20"/>
        </w:rPr>
        <w:t>25</w:t>
      </w:r>
      <w:r>
        <w:rPr>
          <w:rFonts w:eastAsia="黑体" w:cstheme="majorBidi"/>
          <w:i/>
          <w:kern w:val="2"/>
          <w:sz w:val="20"/>
          <w:szCs w:val="20"/>
        </w:rPr>
        <w:fldChar w:fldCharType="end"/>
      </w:r>
      <w:r>
        <w:rPr>
          <w:rFonts w:eastAsia="黑体" w:cstheme="majorBidi"/>
          <w:i/>
          <w:kern w:val="2"/>
          <w:sz w:val="20"/>
          <w:szCs w:val="20"/>
        </w:rPr>
        <w:t>. Acceptable data tips</w:t>
      </w:r>
      <w:bookmarkEnd w:id="116"/>
    </w:p>
    <w:p>
      <w:pPr>
        <w:pStyle w:val="2"/>
        <w:spacing w:line="360" w:lineRule="auto"/>
      </w:pPr>
      <w:bookmarkStart w:id="117" w:name="_Operation_Results"/>
      <w:bookmarkEnd w:id="117"/>
      <w:bookmarkStart w:id="118" w:name="_Toc122982067"/>
      <w:r>
        <w:t>Operation Results</w:t>
      </w:r>
      <w:bookmarkEnd w:id="118"/>
    </w:p>
    <w:p>
      <w:pPr>
        <w:spacing w:line="360" w:lineRule="auto"/>
      </w:pPr>
      <w:r>
        <w:t>When the FAST-CE running is finished, the system provides four kinds of ways to display the source contribution analysis results, including</w:t>
      </w:r>
      <w:r>
        <w:rPr>
          <w:b/>
        </w:rPr>
        <w:t xml:space="preserve"> Map</w:t>
      </w:r>
      <w:r>
        <w:t>,</w:t>
      </w:r>
      <w:r>
        <w:rPr>
          <w:b/>
        </w:rPr>
        <w:t xml:space="preserve"> Receptor Analysis, QA/Validate, and Data,</w:t>
      </w:r>
      <w:r>
        <w:t xml:space="preserve"> as shown in </w:t>
      </w:r>
      <w:r>
        <w:fldChar w:fldCharType="begin"/>
      </w:r>
      <w:r>
        <w:instrText xml:space="preserve"> REF _Ref43649553 \h  \* MERGEFORMAT </w:instrText>
      </w:r>
      <w:r>
        <w:fldChar w:fldCharType="separate"/>
      </w:r>
      <w:r>
        <w:t>Figure 26</w:t>
      </w:r>
      <w:r>
        <w:fldChar w:fldCharType="end"/>
      </w:r>
      <w:r>
        <w:t>.</w:t>
      </w:r>
    </w:p>
    <w:p>
      <w:pPr>
        <w:pStyle w:val="50"/>
        <w:spacing w:line="360" w:lineRule="auto"/>
        <w:ind w:firstLine="480"/>
      </w:pPr>
    </w:p>
    <w:p>
      <w:pPr>
        <w:spacing w:line="360" w:lineRule="auto"/>
        <w:jc w:val="center"/>
        <w:rPr>
          <w:rFonts w:cs="Times New Roman"/>
          <w:szCs w:val="24"/>
        </w:rPr>
      </w:pPr>
      <w:r>
        <w:rPr>
          <w:rFonts w:cs="Times New Roman"/>
          <w:szCs w:val="24"/>
        </w:rPr>
        <w:drawing>
          <wp:inline distT="0" distB="0" distL="0" distR="0">
            <wp:extent cx="4301490" cy="8053705"/>
            <wp:effectExtent l="0" t="0" r="381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4307989" cy="8064900"/>
                    </a:xfrm>
                    <a:prstGeom prst="rect">
                      <a:avLst/>
                    </a:prstGeom>
                    <a:noFill/>
                  </pic:spPr>
                </pic:pic>
              </a:graphicData>
            </a:graphic>
          </wp:inline>
        </w:drawing>
      </w:r>
    </w:p>
    <w:p>
      <w:pPr>
        <w:spacing w:line="360" w:lineRule="auto"/>
        <w:jc w:val="center"/>
        <w:rPr>
          <w:rFonts w:cs="Times New Roman"/>
          <w:szCs w:val="24"/>
        </w:rPr>
      </w:pPr>
      <w:r>
        <w:rPr>
          <w:rFonts w:cs="Times New Roman"/>
          <w:szCs w:val="24"/>
        </w:rPr>
        <w:drawing>
          <wp:inline distT="0" distB="0" distL="0" distR="0">
            <wp:extent cx="4301490" cy="2764155"/>
            <wp:effectExtent l="0" t="0" r="381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4302000" cy="2764400"/>
                    </a:xfrm>
                    <a:prstGeom prst="rect">
                      <a:avLst/>
                    </a:prstGeom>
                    <a:noFill/>
                  </pic:spPr>
                </pic:pic>
              </a:graphicData>
            </a:graphic>
          </wp:inline>
        </w:drawing>
      </w:r>
    </w:p>
    <w:p>
      <w:pPr>
        <w:pStyle w:val="11"/>
        <w:spacing w:line="360" w:lineRule="auto"/>
        <w:ind w:firstLine="240"/>
        <w:rPr>
          <w:rFonts w:cs="Times New Roman"/>
          <w:szCs w:val="24"/>
        </w:rPr>
      </w:pPr>
      <w:bookmarkStart w:id="119" w:name="_Ref43649553"/>
      <w:bookmarkStart w:id="120" w:name="_Toc43734205"/>
      <w:bookmarkStart w:id="121" w:name="_Toc122982121"/>
      <w:r>
        <w:t xml:space="preserve">Figure </w:t>
      </w:r>
      <w:r>
        <w:fldChar w:fldCharType="begin"/>
      </w:r>
      <w:r>
        <w:instrText xml:space="preserve"> SEQ Fig. \* ARABIC </w:instrText>
      </w:r>
      <w:r>
        <w:fldChar w:fldCharType="separate"/>
      </w:r>
      <w:r>
        <w:t>26</w:t>
      </w:r>
      <w:r>
        <w:fldChar w:fldCharType="end"/>
      </w:r>
      <w:bookmarkEnd w:id="119"/>
      <w:r>
        <w:t>. Data Viewer of the FAST-CE results</w:t>
      </w:r>
      <w:bookmarkEnd w:id="120"/>
      <w:bookmarkEnd w:id="121"/>
    </w:p>
    <w:p>
      <w:pPr>
        <w:pStyle w:val="3"/>
      </w:pPr>
      <w:bookmarkStart w:id="122" w:name="_Toc122982068"/>
      <w:r>
        <w:t>Map</w:t>
      </w:r>
      <w:bookmarkEnd w:id="122"/>
    </w:p>
    <w:p>
      <w:pPr>
        <w:spacing w:line="360" w:lineRule="auto"/>
      </w:pPr>
      <w:r>
        <w:t xml:space="preserve">Under the </w:t>
      </w:r>
      <w:r>
        <w:rPr>
          <w:b/>
        </w:rPr>
        <w:t>Map</w:t>
      </w:r>
      <w:r>
        <w:t xml:space="preserve"> module, users may explore the concentration/response distribution of different control scenarios. Options include the display of 2D or 3D plot types, adjustment of emission factors grouped by region, pollutant, and sector for base and control cases were provided in this module, as shown in </w:t>
      </w:r>
      <w:r>
        <w:fldChar w:fldCharType="begin"/>
      </w:r>
      <w:r>
        <w:instrText xml:space="preserve"> REF _Ref43649579 \h  \* MERGEFORMAT </w:instrText>
      </w:r>
      <w:r>
        <w:fldChar w:fldCharType="separate"/>
      </w:r>
      <w:r>
        <w:t>Figure 27</w:t>
      </w:r>
      <w:r>
        <w:fldChar w:fldCharType="end"/>
      </w:r>
      <w:r>
        <w:t xml:space="preserve">. </w:t>
      </w:r>
    </w:p>
    <w:p>
      <w:pPr>
        <w:spacing w:line="360" w:lineRule="auto"/>
      </w:pPr>
    </w:p>
    <w:p>
      <w:pPr>
        <w:spacing w:line="360" w:lineRule="auto"/>
      </w:pPr>
      <w:r>
        <w:t>To visualize the results, FAST-CE allows the user to:</w:t>
      </w:r>
    </w:p>
    <w:p>
      <w:pPr>
        <w:numPr>
          <w:ilvl w:val="0"/>
          <w:numId w:val="11"/>
        </w:numPr>
        <w:adjustRightInd/>
        <w:snapToGrid/>
        <w:spacing w:line="360" w:lineRule="auto"/>
      </w:pPr>
      <w:r>
        <w:rPr>
          <w:color w:val="000000"/>
        </w:rPr>
        <w:t>Select 2D/3D plot</w:t>
      </w:r>
    </w:p>
    <w:p>
      <w:pPr>
        <w:numPr>
          <w:ilvl w:val="0"/>
          <w:numId w:val="11"/>
        </w:numPr>
        <w:adjustRightInd/>
        <w:snapToGrid/>
        <w:spacing w:line="360" w:lineRule="auto"/>
      </w:pPr>
      <w:r>
        <w:rPr>
          <w:color w:val="000000"/>
        </w:rPr>
        <w:t>Configure color legend</w:t>
      </w:r>
    </w:p>
    <w:p>
      <w:pPr>
        <w:numPr>
          <w:ilvl w:val="0"/>
          <w:numId w:val="11"/>
        </w:numPr>
        <w:adjustRightInd/>
        <w:snapToGrid/>
        <w:spacing w:line="360" w:lineRule="auto"/>
      </w:pPr>
      <w:r>
        <w:rPr>
          <w:color w:val="000000"/>
        </w:rPr>
        <w:t>Show concentration or response value of base/control cases</w:t>
      </w:r>
    </w:p>
    <w:p>
      <w:pPr>
        <w:numPr>
          <w:ilvl w:val="0"/>
          <w:numId w:val="11"/>
        </w:numPr>
        <w:adjustRightInd/>
        <w:snapToGrid/>
        <w:spacing w:line="360" w:lineRule="auto"/>
      </w:pPr>
      <w:r>
        <w:rPr>
          <w:color w:val="000000"/>
        </w:rPr>
        <w:t>Customize the value of control factors to display the corresponding results</w:t>
      </w:r>
    </w:p>
    <w:p>
      <w:pPr>
        <w:numPr>
          <w:ilvl w:val="0"/>
          <w:numId w:val="11"/>
        </w:numPr>
        <w:adjustRightInd/>
        <w:snapToGrid/>
        <w:spacing w:line="360" w:lineRule="auto"/>
      </w:pPr>
      <w:r>
        <w:rPr>
          <w:color w:val="000000"/>
        </w:rPr>
        <w:t>Customize Model Domain</w:t>
      </w:r>
    </w:p>
    <w:p>
      <w:pPr>
        <w:numPr>
          <w:ilvl w:val="0"/>
          <w:numId w:val="11"/>
        </w:numPr>
        <w:adjustRightInd/>
        <w:snapToGrid/>
        <w:spacing w:line="360" w:lineRule="auto"/>
      </w:pPr>
      <w:r>
        <w:rPr>
          <w:color w:val="000000"/>
        </w:rPr>
        <w:t>Monitor Point/DVs &amp; Projection module</w:t>
      </w:r>
    </w:p>
    <w:p>
      <w:pPr>
        <w:numPr>
          <w:ilvl w:val="0"/>
          <w:numId w:val="11"/>
        </w:numPr>
        <w:adjustRightInd/>
        <w:snapToGrid/>
        <w:spacing w:line="360" w:lineRule="auto"/>
      </w:pPr>
      <w:r>
        <w:rPr>
          <w:color w:val="000000"/>
        </w:rPr>
        <w:t>Display the PM Species Concentration/Response value</w:t>
      </w:r>
    </w:p>
    <w:p>
      <w:pPr>
        <w:numPr>
          <w:ilvl w:val="0"/>
          <w:numId w:val="11"/>
        </w:numPr>
        <w:adjustRightInd/>
        <w:snapToGrid/>
        <w:spacing w:line="360" w:lineRule="auto"/>
      </w:pPr>
      <w:r>
        <w:rPr>
          <w:color w:val="000000"/>
        </w:rPr>
        <w:t>Overlay the EJ/Demographics Data</w:t>
      </w:r>
    </w:p>
    <w:p>
      <w:pPr>
        <w:spacing w:line="360" w:lineRule="auto"/>
        <w:ind w:firstLine="240"/>
        <w:rPr>
          <w:rFonts w:cs="Times New Roman"/>
          <w:szCs w:val="24"/>
        </w:rPr>
      </w:pPr>
    </w:p>
    <w:p>
      <w:pPr>
        <w:spacing w:line="360" w:lineRule="auto"/>
        <w:jc w:val="center"/>
        <w:rPr>
          <w:rFonts w:eastAsia="宋体" w:cs="Times New Roman"/>
          <w:szCs w:val="24"/>
        </w:rPr>
      </w:pPr>
      <w:r>
        <w:drawing>
          <wp:inline distT="0" distB="0" distL="0" distR="0">
            <wp:extent cx="5274310" cy="3817620"/>
            <wp:effectExtent l="0" t="0" r="2540" b="0"/>
            <wp:docPr id="526" name="P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Pic 30"/>
                    <pic:cNvPicPr>
                      <a:picLocks noChangeAspect="1"/>
                    </pic:cNvPicPr>
                  </pic:nvPicPr>
                  <pic:blipFill>
                    <a:blip r:embed="rId42" cstate="print"/>
                    <a:stretch>
                      <a:fillRect/>
                    </a:stretch>
                  </pic:blipFill>
                  <pic:spPr>
                    <a:xfrm>
                      <a:off x="0" y="0"/>
                      <a:ext cx="5274310" cy="3817686"/>
                    </a:xfrm>
                    <a:prstGeom prst="rect">
                      <a:avLst/>
                    </a:prstGeom>
                  </pic:spPr>
                </pic:pic>
              </a:graphicData>
            </a:graphic>
          </wp:inline>
        </w:drawing>
      </w:r>
    </w:p>
    <w:p>
      <w:pPr>
        <w:pStyle w:val="11"/>
        <w:spacing w:line="360" w:lineRule="auto"/>
        <w:ind w:firstLine="240"/>
      </w:pPr>
      <w:bookmarkStart w:id="123" w:name="_Ref43649579"/>
      <w:bookmarkStart w:id="124" w:name="_Toc43734206"/>
      <w:bookmarkStart w:id="125" w:name="_Toc122982122"/>
      <w:r>
        <w:t xml:space="preserve">Figure </w:t>
      </w:r>
      <w:r>
        <w:fldChar w:fldCharType="begin"/>
      </w:r>
      <w:r>
        <w:instrText xml:space="preserve"> SEQ Fig. \* ARABIC </w:instrText>
      </w:r>
      <w:r>
        <w:fldChar w:fldCharType="separate"/>
      </w:r>
      <w:r>
        <w:t>27</w:t>
      </w:r>
      <w:r>
        <w:fldChar w:fldCharType="end"/>
      </w:r>
      <w:bookmarkEnd w:id="123"/>
      <w:r>
        <w:t xml:space="preserve">. Map </w:t>
      </w:r>
      <w:r>
        <w:rPr>
          <w:rFonts w:hint="eastAsia"/>
        </w:rPr>
        <w:t>vie</w:t>
      </w:r>
      <w:r>
        <w:t>w of FAST-CE results</w:t>
      </w:r>
      <w:bookmarkEnd w:id="124"/>
      <w:bookmarkEnd w:id="125"/>
    </w:p>
    <w:p>
      <w:pPr>
        <w:spacing w:line="360" w:lineRule="auto"/>
      </w:pPr>
    </w:p>
    <w:p>
      <w:pPr>
        <w:pStyle w:val="4"/>
      </w:pPr>
      <w:bookmarkStart w:id="126" w:name="_Toc122982069"/>
      <w:r>
        <w:t>Select 2D/3D plot</w:t>
      </w:r>
      <w:bookmarkEnd w:id="126"/>
    </w:p>
    <w:p>
      <w:pPr>
        <w:spacing w:line="360" w:lineRule="auto"/>
        <w:rPr>
          <w:szCs w:val="24"/>
        </w:rPr>
      </w:pPr>
      <w:r>
        <w:t>Select “</w:t>
      </w:r>
      <w:r>
        <w:rPr>
          <w:b/>
          <w:bCs/>
        </w:rPr>
        <w:t>2D Plot</w:t>
      </w:r>
      <w:r>
        <w:t>” or “</w:t>
      </w:r>
      <w:r>
        <w:rPr>
          <w:b/>
          <w:bCs/>
        </w:rPr>
        <w:t>3D Plot</w:t>
      </w:r>
      <w:r>
        <w:t>” to show a specific plot type. In general, both 2D and 3D plots will display the distribution of Concentration/Response values and show the min/max value on the bottom, and the legend scale on the right</w:t>
      </w:r>
      <w:r>
        <w:rPr>
          <w:szCs w:val="24"/>
        </w:rPr>
        <w:t xml:space="preserve">. </w:t>
      </w:r>
    </w:p>
    <w:p>
      <w:pPr>
        <w:spacing w:line="360" w:lineRule="auto"/>
        <w:jc w:val="center"/>
        <w:rPr>
          <w:rFonts w:cs="Times New Roman"/>
          <w:szCs w:val="24"/>
        </w:rPr>
      </w:pPr>
      <w:r>
        <w:drawing>
          <wp:inline distT="0" distB="0" distL="0" distR="0">
            <wp:extent cx="4724400" cy="4267200"/>
            <wp:effectExtent l="0" t="0" r="0" b="0"/>
            <wp:docPr id="527" name="P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 31"/>
                    <pic:cNvPicPr>
                      <a:picLocks noChangeAspect="1"/>
                    </pic:cNvPicPr>
                  </pic:nvPicPr>
                  <pic:blipFill>
                    <a:blip r:embed="rId43" cstate="print"/>
                    <a:stretch>
                      <a:fillRect/>
                    </a:stretch>
                  </pic:blipFill>
                  <pic:spPr>
                    <a:xfrm>
                      <a:off x="0" y="0"/>
                      <a:ext cx="4724400" cy="4267200"/>
                    </a:xfrm>
                    <a:prstGeom prst="rect">
                      <a:avLst/>
                    </a:prstGeom>
                  </pic:spPr>
                </pic:pic>
              </a:graphicData>
            </a:graphic>
          </wp:inline>
        </w:drawing>
      </w:r>
    </w:p>
    <w:p>
      <w:pPr>
        <w:pStyle w:val="11"/>
        <w:spacing w:line="360" w:lineRule="auto"/>
        <w:ind w:firstLine="240"/>
      </w:pPr>
      <w:bookmarkStart w:id="127" w:name="_Toc43734207"/>
      <w:bookmarkStart w:id="128" w:name="_Toc122982123"/>
      <w:r>
        <w:t xml:space="preserve">Figure </w:t>
      </w:r>
      <w:r>
        <w:fldChar w:fldCharType="begin"/>
      </w:r>
      <w:r>
        <w:instrText xml:space="preserve"> SEQ Fig. \* ARABIC </w:instrText>
      </w:r>
      <w:r>
        <w:fldChar w:fldCharType="separate"/>
      </w:r>
      <w:r>
        <w:t>28</w:t>
      </w:r>
      <w:r>
        <w:fldChar w:fldCharType="end"/>
      </w:r>
      <w:r>
        <w:t>. 2D plot</w:t>
      </w:r>
      <w:bookmarkEnd w:id="127"/>
      <w:bookmarkEnd w:id="128"/>
    </w:p>
    <w:p>
      <w:pPr>
        <w:spacing w:line="360" w:lineRule="auto"/>
      </w:pPr>
    </w:p>
    <w:p>
      <w:pPr>
        <w:spacing w:line="360" w:lineRule="auto"/>
        <w:jc w:val="center"/>
        <w:rPr>
          <w:rFonts w:cs="Times New Roman"/>
          <w:szCs w:val="24"/>
        </w:rPr>
      </w:pPr>
      <w:r>
        <w:rPr>
          <w:rFonts w:cs="Times New Roman"/>
          <w:szCs w:val="24"/>
        </w:rPr>
        <w:drawing>
          <wp:inline distT="0" distB="0" distL="0" distR="0">
            <wp:extent cx="4673600" cy="404114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44"/>
                    <a:stretch>
                      <a:fillRect/>
                    </a:stretch>
                  </pic:blipFill>
                  <pic:spPr>
                    <a:xfrm>
                      <a:off x="0" y="0"/>
                      <a:ext cx="4725233" cy="4085798"/>
                    </a:xfrm>
                    <a:prstGeom prst="rect">
                      <a:avLst/>
                    </a:prstGeom>
                  </pic:spPr>
                </pic:pic>
              </a:graphicData>
            </a:graphic>
          </wp:inline>
        </w:drawing>
      </w:r>
    </w:p>
    <w:p>
      <w:pPr>
        <w:pStyle w:val="11"/>
        <w:spacing w:line="360" w:lineRule="auto"/>
        <w:ind w:firstLine="240"/>
      </w:pPr>
      <w:bookmarkStart w:id="129" w:name="_Toc43734208"/>
      <w:bookmarkStart w:id="130" w:name="_Toc122982124"/>
      <w:r>
        <w:t xml:space="preserve">Figure </w:t>
      </w:r>
      <w:r>
        <w:fldChar w:fldCharType="begin"/>
      </w:r>
      <w:r>
        <w:instrText xml:space="preserve"> SEQ Fig. \* ARABIC </w:instrText>
      </w:r>
      <w:r>
        <w:fldChar w:fldCharType="separate"/>
      </w:r>
      <w:r>
        <w:t>29</w:t>
      </w:r>
      <w:r>
        <w:fldChar w:fldCharType="end"/>
      </w:r>
      <w:r>
        <w:t>. 3D plot</w:t>
      </w:r>
      <w:bookmarkEnd w:id="129"/>
      <w:bookmarkEnd w:id="130"/>
    </w:p>
    <w:p>
      <w:pPr>
        <w:pStyle w:val="4"/>
      </w:pPr>
      <w:bookmarkStart w:id="131" w:name="_Toc122982070"/>
      <w:r>
        <w:t>Configure color legend</w:t>
      </w:r>
      <w:bookmarkEnd w:id="131"/>
    </w:p>
    <w:p>
      <w:pPr>
        <w:spacing w:line="360" w:lineRule="auto"/>
        <w:rPr>
          <w:shd w:val="pct10" w:color="auto" w:fill="FFFFFF"/>
        </w:rPr>
      </w:pPr>
      <w:r>
        <w:t xml:space="preserve">Double-click on the color legend, to activate a pop-up configuration window as shown in </w:t>
      </w:r>
      <w:r>
        <w:fldChar w:fldCharType="begin"/>
      </w:r>
      <w:r>
        <w:instrText xml:space="preserve"> REF _Ref43649655 \h  \* MERGEFORMAT </w:instrText>
      </w:r>
      <w:r>
        <w:fldChar w:fldCharType="separate"/>
      </w:r>
      <w:r>
        <w:t>Figure 30</w:t>
      </w:r>
      <w:r>
        <w:fldChar w:fldCharType="end"/>
      </w:r>
      <w:r>
        <w:t>. Users can select a different color palette and new legend scale values.</w:t>
      </w:r>
    </w:p>
    <w:p>
      <w:pPr>
        <w:spacing w:line="360" w:lineRule="auto"/>
        <w:ind w:firstLine="98" w:firstLineChars="41"/>
        <w:jc w:val="center"/>
        <w:rPr>
          <w:rFonts w:cs="Times New Roman"/>
          <w:szCs w:val="24"/>
        </w:rPr>
      </w:pPr>
      <w:r>
        <w:rPr>
          <w:rFonts w:cs="Times New Roman"/>
          <w:szCs w:val="24"/>
        </w:rPr>
        <w:drawing>
          <wp:inline distT="0" distB="0" distL="0" distR="0">
            <wp:extent cx="5274310" cy="2908300"/>
            <wp:effectExtent l="0" t="0" r="254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45"/>
                    <a:stretch>
                      <a:fillRect/>
                    </a:stretch>
                  </pic:blipFill>
                  <pic:spPr>
                    <a:xfrm>
                      <a:off x="0" y="0"/>
                      <a:ext cx="5274310" cy="2908300"/>
                    </a:xfrm>
                    <a:prstGeom prst="rect">
                      <a:avLst/>
                    </a:prstGeom>
                  </pic:spPr>
                </pic:pic>
              </a:graphicData>
            </a:graphic>
          </wp:inline>
        </w:drawing>
      </w:r>
    </w:p>
    <w:p>
      <w:pPr>
        <w:pStyle w:val="11"/>
        <w:spacing w:line="360" w:lineRule="auto"/>
        <w:ind w:firstLine="240"/>
      </w:pPr>
      <w:bookmarkStart w:id="132" w:name="_Ref43649655"/>
      <w:bookmarkStart w:id="133" w:name="_Toc43734209"/>
      <w:bookmarkStart w:id="134" w:name="_Toc122982125"/>
      <w:r>
        <w:t xml:space="preserve">Figure </w:t>
      </w:r>
      <w:r>
        <w:fldChar w:fldCharType="begin"/>
      </w:r>
      <w:r>
        <w:instrText xml:space="preserve"> SEQ Fig. \* ARABIC </w:instrText>
      </w:r>
      <w:r>
        <w:fldChar w:fldCharType="separate"/>
      </w:r>
      <w:r>
        <w:t>30</w:t>
      </w:r>
      <w:r>
        <w:fldChar w:fldCharType="end"/>
      </w:r>
      <w:bookmarkEnd w:id="132"/>
      <w:r>
        <w:t>. Configure color legend</w:t>
      </w:r>
      <w:bookmarkEnd w:id="133"/>
      <w:bookmarkEnd w:id="134"/>
    </w:p>
    <w:p>
      <w:pPr>
        <w:spacing w:line="360" w:lineRule="auto"/>
      </w:pPr>
    </w:p>
    <w:p>
      <w:pPr>
        <w:pStyle w:val="4"/>
      </w:pPr>
      <w:bookmarkStart w:id="135" w:name="_Toc122982071"/>
      <w:r>
        <w:t>Show concentration or response value of base/control cases</w:t>
      </w:r>
      <w:bookmarkEnd w:id="135"/>
    </w:p>
    <w:p>
      <w:pPr>
        <w:spacing w:line="360" w:lineRule="auto"/>
      </w:pPr>
      <w:r>
        <w:t xml:space="preserve">Users can select either the Concentration or the Response option on the top of the map to display the concentration or response results of different cases as shown in </w:t>
      </w:r>
      <w:r>
        <w:fldChar w:fldCharType="begin"/>
      </w:r>
      <w:r>
        <w:instrText xml:space="preserve"> REF _Ref43649680 \h  \* MERGEFORMAT </w:instrText>
      </w:r>
      <w:r>
        <w:fldChar w:fldCharType="separate"/>
      </w:r>
      <w:r>
        <w:t>Figure 31</w:t>
      </w:r>
      <w:r>
        <w:fldChar w:fldCharType="end"/>
      </w:r>
      <w:r>
        <w:t>.</w:t>
      </w:r>
    </w:p>
    <w:p>
      <w:pPr>
        <w:spacing w:line="360" w:lineRule="auto"/>
      </w:pPr>
    </w:p>
    <w:p>
      <w:pPr>
        <w:spacing w:line="360" w:lineRule="auto"/>
        <w:jc w:val="center"/>
        <w:rPr>
          <w:rFonts w:cs="Times New Roman"/>
          <w:szCs w:val="24"/>
        </w:rPr>
      </w:pPr>
      <w:r>
        <w:rPr>
          <w:rFonts w:cs="Times New Roman"/>
          <w:szCs w:val="24"/>
        </w:rPr>
        <w:drawing>
          <wp:inline distT="0" distB="0" distL="0" distR="0">
            <wp:extent cx="4461510" cy="3935095"/>
            <wp:effectExtent l="0" t="0" r="0" b="825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6"/>
                    <a:stretch>
                      <a:fillRect/>
                    </a:stretch>
                  </pic:blipFill>
                  <pic:spPr>
                    <a:xfrm>
                      <a:off x="0" y="0"/>
                      <a:ext cx="4464454" cy="3937706"/>
                    </a:xfrm>
                    <a:prstGeom prst="rect">
                      <a:avLst/>
                    </a:prstGeom>
                  </pic:spPr>
                </pic:pic>
              </a:graphicData>
            </a:graphic>
          </wp:inline>
        </w:drawing>
      </w:r>
    </w:p>
    <w:p>
      <w:pPr>
        <w:pStyle w:val="11"/>
        <w:spacing w:line="360" w:lineRule="auto"/>
        <w:ind w:firstLine="240"/>
      </w:pPr>
      <w:bookmarkStart w:id="136" w:name="_Ref43649680"/>
      <w:bookmarkStart w:id="137" w:name="_Toc43734210"/>
      <w:bookmarkStart w:id="138" w:name="_Toc122982126"/>
      <w:r>
        <w:t xml:space="preserve">Figure </w:t>
      </w:r>
      <w:r>
        <w:fldChar w:fldCharType="begin"/>
      </w:r>
      <w:r>
        <w:instrText xml:space="preserve"> SEQ Fig. \* ARABIC </w:instrText>
      </w:r>
      <w:r>
        <w:fldChar w:fldCharType="separate"/>
      </w:r>
      <w:r>
        <w:t>31</w:t>
      </w:r>
      <w:r>
        <w:fldChar w:fldCharType="end"/>
      </w:r>
      <w:bookmarkEnd w:id="136"/>
      <w:r>
        <w:t>. Show concentration value of base/control cases</w:t>
      </w:r>
      <w:bookmarkEnd w:id="137"/>
      <w:bookmarkEnd w:id="138"/>
    </w:p>
    <w:p>
      <w:pPr>
        <w:spacing w:line="360" w:lineRule="auto"/>
      </w:pPr>
    </w:p>
    <w:p>
      <w:pPr>
        <w:spacing w:line="360" w:lineRule="auto"/>
        <w:rPr>
          <w:szCs w:val="24"/>
        </w:rPr>
      </w:pPr>
      <w:r>
        <w:t xml:space="preserve">If the user selects the Response button, FAST-CE will show the distribution of the difference between base case and control case as shown in </w:t>
      </w:r>
      <w:r>
        <w:fldChar w:fldCharType="begin"/>
      </w:r>
      <w:r>
        <w:instrText xml:space="preserve"> REF _Ref43649711 \h  \* MERGEFORMAT </w:instrText>
      </w:r>
      <w:r>
        <w:fldChar w:fldCharType="separate"/>
      </w:r>
      <w:r>
        <w:t>Figure 32</w:t>
      </w:r>
      <w:r>
        <w:fldChar w:fldCharType="end"/>
      </w:r>
      <w:r>
        <w:rPr>
          <w:szCs w:val="24"/>
        </w:rPr>
        <w:t>.</w:t>
      </w:r>
    </w:p>
    <w:p>
      <w:pPr>
        <w:spacing w:line="360" w:lineRule="auto"/>
        <w:rPr>
          <w:szCs w:val="24"/>
        </w:rPr>
      </w:pPr>
    </w:p>
    <w:p>
      <w:pPr>
        <w:spacing w:line="360" w:lineRule="auto"/>
        <w:jc w:val="center"/>
        <w:rPr>
          <w:rFonts w:cs="Times New Roman"/>
          <w:szCs w:val="24"/>
        </w:rPr>
      </w:pPr>
      <w:r>
        <w:rPr>
          <w:rFonts w:cs="Times New Roman"/>
          <w:szCs w:val="24"/>
        </w:rPr>
        <w:drawing>
          <wp:inline distT="0" distB="0" distL="0" distR="0">
            <wp:extent cx="5114925" cy="450215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7"/>
                    <a:stretch>
                      <a:fillRect/>
                    </a:stretch>
                  </pic:blipFill>
                  <pic:spPr>
                    <a:xfrm>
                      <a:off x="0" y="0"/>
                      <a:ext cx="5118774" cy="4505581"/>
                    </a:xfrm>
                    <a:prstGeom prst="rect">
                      <a:avLst/>
                    </a:prstGeom>
                  </pic:spPr>
                </pic:pic>
              </a:graphicData>
            </a:graphic>
          </wp:inline>
        </w:drawing>
      </w:r>
    </w:p>
    <w:p>
      <w:pPr>
        <w:pStyle w:val="11"/>
        <w:spacing w:line="360" w:lineRule="auto"/>
        <w:ind w:firstLine="240"/>
      </w:pPr>
      <w:bookmarkStart w:id="139" w:name="_Ref43649711"/>
      <w:bookmarkStart w:id="140" w:name="_Toc122982127"/>
      <w:bookmarkStart w:id="141" w:name="_Toc43734211"/>
      <w:r>
        <w:t xml:space="preserve">Figure </w:t>
      </w:r>
      <w:r>
        <w:fldChar w:fldCharType="begin"/>
      </w:r>
      <w:r>
        <w:instrText xml:space="preserve"> SEQ Fig. \* ARABIC </w:instrText>
      </w:r>
      <w:r>
        <w:fldChar w:fldCharType="separate"/>
      </w:r>
      <w:r>
        <w:t>32</w:t>
      </w:r>
      <w:r>
        <w:fldChar w:fldCharType="end"/>
      </w:r>
      <w:bookmarkEnd w:id="139"/>
      <w:r>
        <w:t>. Show response value of base/control cases</w:t>
      </w:r>
      <w:bookmarkEnd w:id="140"/>
      <w:bookmarkEnd w:id="141"/>
    </w:p>
    <w:p>
      <w:pPr>
        <w:spacing w:line="360" w:lineRule="auto"/>
      </w:pPr>
    </w:p>
    <w:p>
      <w:pPr>
        <w:pStyle w:val="50"/>
        <w:spacing w:line="360" w:lineRule="auto"/>
        <w:ind w:firstLine="0" w:firstLineChars="0"/>
      </w:pPr>
      <w:r>
        <w:t>Users can also check the “Multiple Plots” option to display multiple results at one time.</w:t>
      </w:r>
    </w:p>
    <w:p>
      <w:pPr>
        <w:pStyle w:val="50"/>
        <w:spacing w:line="360" w:lineRule="auto"/>
        <w:ind w:firstLine="0" w:firstLineChars="0"/>
      </w:pPr>
    </w:p>
    <w:p>
      <w:pPr>
        <w:pStyle w:val="50"/>
        <w:spacing w:line="360" w:lineRule="auto"/>
        <w:ind w:firstLine="0" w:firstLineChars="0"/>
      </w:pPr>
      <w:r>
        <w:drawing>
          <wp:inline distT="0" distB="0" distL="0" distR="0">
            <wp:extent cx="5274310" cy="3007360"/>
            <wp:effectExtent l="0" t="0" r="2540" b="254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8"/>
                    <a:stretch>
                      <a:fillRect/>
                    </a:stretch>
                  </pic:blipFill>
                  <pic:spPr>
                    <a:xfrm>
                      <a:off x="0" y="0"/>
                      <a:ext cx="5274310" cy="3007360"/>
                    </a:xfrm>
                    <a:prstGeom prst="rect">
                      <a:avLst/>
                    </a:prstGeom>
                  </pic:spPr>
                </pic:pic>
              </a:graphicData>
            </a:graphic>
          </wp:inline>
        </w:drawing>
      </w:r>
    </w:p>
    <w:p>
      <w:pPr>
        <w:pStyle w:val="11"/>
        <w:spacing w:line="360" w:lineRule="auto"/>
        <w:ind w:firstLine="240"/>
        <w:rPr>
          <w:rFonts w:cs="Times New Roman"/>
          <w:szCs w:val="24"/>
        </w:rPr>
      </w:pPr>
      <w:bookmarkStart w:id="142" w:name="_Toc43734212"/>
      <w:bookmarkStart w:id="143" w:name="_Toc122982128"/>
      <w:r>
        <w:t xml:space="preserve">Figure </w:t>
      </w:r>
      <w:r>
        <w:fldChar w:fldCharType="begin"/>
      </w:r>
      <w:r>
        <w:instrText xml:space="preserve"> SEQ Fig. \* ARABIC </w:instrText>
      </w:r>
      <w:r>
        <w:fldChar w:fldCharType="separate"/>
      </w:r>
      <w:r>
        <w:t>33</w:t>
      </w:r>
      <w:r>
        <w:fldChar w:fldCharType="end"/>
      </w:r>
      <w:r>
        <w:t>. Show multiple plots</w:t>
      </w:r>
      <w:bookmarkEnd w:id="142"/>
      <w:bookmarkEnd w:id="143"/>
    </w:p>
    <w:p>
      <w:pPr>
        <w:pStyle w:val="4"/>
      </w:pPr>
      <w:bookmarkStart w:id="144" w:name="_Toc122982072"/>
      <w:r>
        <w:t>Customize control factors</w:t>
      </w:r>
      <w:bookmarkEnd w:id="144"/>
    </w:p>
    <w:p>
      <w:pPr>
        <w:spacing w:line="360" w:lineRule="auto"/>
      </w:pPr>
      <w:r>
        <w:t>FAST-CE allows the user to flexibly change the input control factor and show the corresponding response value of concentrations in real-time. The panel on the left lists all control factors. The sliders may be adjusted to change a single factor or multiple factors at the same time.</w:t>
      </w:r>
    </w:p>
    <w:p>
      <w:pPr>
        <w:pStyle w:val="50"/>
        <w:spacing w:line="360" w:lineRule="auto"/>
        <w:ind w:firstLine="480"/>
      </w:pPr>
    </w:p>
    <w:p>
      <w:pPr>
        <w:spacing w:line="360" w:lineRule="auto"/>
        <w:jc w:val="center"/>
        <w:rPr>
          <w:rFonts w:cs="Times New Roman"/>
          <w:szCs w:val="24"/>
        </w:rPr>
      </w:pPr>
      <w:r>
        <w:rPr>
          <w:rFonts w:cs="Times New Roman"/>
          <w:szCs w:val="24"/>
        </w:rPr>
        <w:drawing>
          <wp:inline distT="0" distB="0" distL="0" distR="0">
            <wp:extent cx="4664075" cy="4054475"/>
            <wp:effectExtent l="0" t="0" r="3175" b="317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9"/>
                    <a:stretch>
                      <a:fillRect/>
                    </a:stretch>
                  </pic:blipFill>
                  <pic:spPr>
                    <a:xfrm>
                      <a:off x="0" y="0"/>
                      <a:ext cx="4670002" cy="4059404"/>
                    </a:xfrm>
                    <a:prstGeom prst="rect">
                      <a:avLst/>
                    </a:prstGeom>
                  </pic:spPr>
                </pic:pic>
              </a:graphicData>
            </a:graphic>
          </wp:inline>
        </w:drawing>
      </w:r>
    </w:p>
    <w:p>
      <w:pPr>
        <w:pStyle w:val="11"/>
        <w:spacing w:line="360" w:lineRule="auto"/>
        <w:ind w:firstLine="240"/>
      </w:pPr>
      <w:bookmarkStart w:id="145" w:name="_Toc43734213"/>
      <w:bookmarkStart w:id="146" w:name="_Toc122982129"/>
      <w:r>
        <w:t xml:space="preserve">Figure </w:t>
      </w:r>
      <w:r>
        <w:fldChar w:fldCharType="begin"/>
      </w:r>
      <w:r>
        <w:instrText xml:space="preserve"> SEQ Fig. \* ARABIC </w:instrText>
      </w:r>
      <w:r>
        <w:fldChar w:fldCharType="separate"/>
      </w:r>
      <w:r>
        <w:t>34</w:t>
      </w:r>
      <w:r>
        <w:fldChar w:fldCharType="end"/>
      </w:r>
      <w:r>
        <w:t>. Customize control factors and displaying results</w:t>
      </w:r>
      <w:bookmarkEnd w:id="145"/>
      <w:bookmarkEnd w:id="146"/>
    </w:p>
    <w:p>
      <w:pPr>
        <w:spacing w:line="360" w:lineRule="auto"/>
      </w:pPr>
    </w:p>
    <w:p>
      <w:pPr>
        <w:spacing w:line="360" w:lineRule="auto"/>
      </w:pPr>
      <w:r>
        <w:t>User can also set up the max “slider bar value” in the “FAST-CE.ini” file in …\My FAST-CE Files\FAST-CE.ini. So that user can change the ratio up to “10” or higher value.</w:t>
      </w:r>
    </w:p>
    <w:p>
      <w:pPr>
        <w:spacing w:line="360" w:lineRule="auto"/>
      </w:pPr>
      <w:r>
        <w:drawing>
          <wp:inline distT="0" distB="0" distL="0" distR="0">
            <wp:extent cx="5274310" cy="204152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274310" cy="2041525"/>
                    </a:xfrm>
                    <a:prstGeom prst="rect">
                      <a:avLst/>
                    </a:prstGeom>
                    <a:noFill/>
                    <a:ln>
                      <a:noFill/>
                    </a:ln>
                  </pic:spPr>
                </pic:pic>
              </a:graphicData>
            </a:graphic>
          </wp:inline>
        </w:drawing>
      </w:r>
    </w:p>
    <w:p>
      <w:pPr>
        <w:pStyle w:val="11"/>
        <w:spacing w:line="360" w:lineRule="auto"/>
        <w:ind w:firstLine="240"/>
      </w:pPr>
      <w:bookmarkStart w:id="147" w:name="_Toc122982130"/>
      <w:r>
        <w:t xml:space="preserve">Figure </w:t>
      </w:r>
      <w:r>
        <w:fldChar w:fldCharType="begin"/>
      </w:r>
      <w:r>
        <w:instrText xml:space="preserve"> SEQ Fig. \* ARABIC </w:instrText>
      </w:r>
      <w:r>
        <w:fldChar w:fldCharType="separate"/>
      </w:r>
      <w:r>
        <w:t>35</w:t>
      </w:r>
      <w:r>
        <w:fldChar w:fldCharType="end"/>
      </w:r>
      <w:r>
        <w:t xml:space="preserve">. </w:t>
      </w:r>
      <w:r>
        <w:rPr>
          <w:rFonts w:cs="Times New Roman" w:eastAsiaTheme="minorEastAsia"/>
          <w:color w:val="000000"/>
          <w:szCs w:val="24"/>
          <w:lang w:val="zh-CN"/>
        </w:rPr>
        <w:t>Set the Max Slider Bar Value.</w:t>
      </w:r>
      <w:bookmarkEnd w:id="147"/>
    </w:p>
    <w:p>
      <w:pPr>
        <w:spacing w:line="360" w:lineRule="auto"/>
      </w:pPr>
      <w:r>
        <w:t>Moreover, users can group/combine specific factors by region/</w:t>
      </w:r>
      <w:r>
        <w:rPr>
          <w:rFonts w:hint="eastAsia"/>
        </w:rPr>
        <w:t>po</w:t>
      </w:r>
      <w:r>
        <w:t>llutant/sector in the control factors panel to change the selected control factors to some extent.</w:t>
      </w:r>
    </w:p>
    <w:p>
      <w:pPr>
        <w:spacing w:line="360" w:lineRule="auto"/>
      </w:pPr>
    </w:p>
    <w:p>
      <w:pPr>
        <w:spacing w:line="360" w:lineRule="auto"/>
        <w:jc w:val="center"/>
        <w:rPr>
          <w:rFonts w:cs="Times New Roman"/>
          <w:szCs w:val="24"/>
        </w:rPr>
      </w:pPr>
      <w:r>
        <w:rPr>
          <w:rFonts w:cs="Times New Roman"/>
          <w:szCs w:val="24"/>
        </w:rPr>
        <w:drawing>
          <wp:inline distT="0" distB="0" distL="0" distR="0">
            <wp:extent cx="4625340" cy="3827145"/>
            <wp:effectExtent l="0" t="0" r="3810" b="190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1"/>
                    <a:stretch>
                      <a:fillRect/>
                    </a:stretch>
                  </pic:blipFill>
                  <pic:spPr>
                    <a:xfrm>
                      <a:off x="0" y="0"/>
                      <a:ext cx="4638355" cy="3838119"/>
                    </a:xfrm>
                    <a:prstGeom prst="rect">
                      <a:avLst/>
                    </a:prstGeom>
                  </pic:spPr>
                </pic:pic>
              </a:graphicData>
            </a:graphic>
          </wp:inline>
        </w:drawing>
      </w:r>
    </w:p>
    <w:p>
      <w:pPr>
        <w:pStyle w:val="11"/>
        <w:spacing w:line="360" w:lineRule="auto"/>
        <w:ind w:firstLine="240"/>
      </w:pPr>
      <w:bookmarkStart w:id="148" w:name="_Toc43734214"/>
      <w:bookmarkStart w:id="149" w:name="_Toc122982131"/>
      <w:r>
        <w:t xml:space="preserve">Figure </w:t>
      </w:r>
      <w:r>
        <w:fldChar w:fldCharType="begin"/>
      </w:r>
      <w:r>
        <w:instrText xml:space="preserve"> SEQ Fig. \* ARABIC </w:instrText>
      </w:r>
      <w:r>
        <w:fldChar w:fldCharType="separate"/>
      </w:r>
      <w:r>
        <w:t>36</w:t>
      </w:r>
      <w:r>
        <w:fldChar w:fldCharType="end"/>
      </w:r>
      <w:r>
        <w:t>. Group/combine specific factors</w:t>
      </w:r>
      <w:bookmarkEnd w:id="148"/>
      <w:bookmarkEnd w:id="149"/>
    </w:p>
    <w:p>
      <w:pPr>
        <w:spacing w:line="360" w:lineRule="auto"/>
      </w:pPr>
    </w:p>
    <w:p>
      <w:pPr>
        <w:spacing w:line="360" w:lineRule="auto"/>
      </w:pPr>
      <w:r>
        <w:t>Users can also define control factors through the following two ways according to their needs.</w:t>
      </w:r>
    </w:p>
    <w:p>
      <w:pPr>
        <w:pStyle w:val="50"/>
        <w:numPr>
          <w:ilvl w:val="0"/>
          <w:numId w:val="12"/>
        </w:numPr>
        <w:spacing w:before="120" w:after="120" w:line="360" w:lineRule="auto"/>
        <w:ind w:left="720" w:hanging="360" w:firstLineChars="0"/>
      </w:pPr>
      <w:r>
        <w:rPr>
          <w:rFonts w:hint="eastAsia"/>
        </w:rPr>
        <w:t>P</w:t>
      </w:r>
      <w:r>
        <w:t xml:space="preserve">re-defined control filter: all existing control factors can </w:t>
      </w:r>
      <w:r>
        <w:rPr>
          <w:rFonts w:hint="eastAsia"/>
        </w:rPr>
        <w:t>be</w:t>
      </w:r>
      <w:r>
        <w:t xml:space="preserve"> classified by pre-defined filters, including “Region”, “Pollutant” and “Sector”. Users can select interested filter to re-organized control factors and get the corresponding air quality surfaces by changing these new defined factors, as shown in </w:t>
      </w:r>
      <w:r>
        <w:fldChar w:fldCharType="begin"/>
      </w:r>
      <w:r>
        <w:instrText xml:space="preserve"> REF _Ref44406647 \h  \* MERGEFORMAT </w:instrText>
      </w:r>
      <w:r>
        <w:fldChar w:fldCharType="separate"/>
      </w:r>
      <w:r>
        <w:t>Figure 37</w:t>
      </w:r>
      <w:r>
        <w:fldChar w:fldCharType="end"/>
      </w:r>
      <w:r>
        <w:t>.</w:t>
      </w:r>
    </w:p>
    <w:p>
      <w:pPr>
        <w:pStyle w:val="50"/>
        <w:spacing w:before="120" w:after="120" w:line="360" w:lineRule="auto"/>
        <w:ind w:firstLineChars="0"/>
      </w:pPr>
    </w:p>
    <w:p>
      <w:pPr>
        <w:spacing w:line="360" w:lineRule="auto"/>
        <w:jc w:val="center"/>
      </w:pPr>
      <w:r>
        <w:drawing>
          <wp:inline distT="0" distB="0" distL="0" distR="0">
            <wp:extent cx="4991100" cy="254698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026595" cy="2565621"/>
                    </a:xfrm>
                    <a:prstGeom prst="rect">
                      <a:avLst/>
                    </a:prstGeom>
                    <a:noFill/>
                  </pic:spPr>
                </pic:pic>
              </a:graphicData>
            </a:graphic>
          </wp:inline>
        </w:drawing>
      </w:r>
    </w:p>
    <w:p>
      <w:pPr>
        <w:pStyle w:val="11"/>
        <w:spacing w:line="360" w:lineRule="auto"/>
        <w:ind w:firstLine="240"/>
      </w:pPr>
      <w:bookmarkStart w:id="150" w:name="_Ref44406647"/>
      <w:bookmarkStart w:id="151" w:name="_Toc122982132"/>
      <w:r>
        <w:t xml:space="preserve">Figure </w:t>
      </w:r>
      <w:r>
        <w:fldChar w:fldCharType="begin"/>
      </w:r>
      <w:r>
        <w:instrText xml:space="preserve"> SEQ Fig. \* ARABIC </w:instrText>
      </w:r>
      <w:r>
        <w:fldChar w:fldCharType="separate"/>
      </w:r>
      <w:r>
        <w:t>37</w:t>
      </w:r>
      <w:r>
        <w:fldChar w:fldCharType="end"/>
      </w:r>
      <w:bookmarkEnd w:id="150"/>
      <w:r>
        <w:t>. Pre-defined control filter</w:t>
      </w:r>
      <w:bookmarkEnd w:id="151"/>
    </w:p>
    <w:p>
      <w:pPr>
        <w:pStyle w:val="39"/>
        <w:numPr>
          <w:ilvl w:val="0"/>
          <w:numId w:val="12"/>
        </w:numPr>
        <w:spacing w:before="120" w:after="120" w:line="360" w:lineRule="auto"/>
        <w:ind w:left="720" w:hanging="360"/>
      </w:pPr>
      <w:r>
        <w:rPr>
          <w:rFonts w:cs="Times New Roman"/>
          <w:szCs w:val="24"/>
        </w:rPr>
        <w:t xml:space="preserve">User-defined control method: </w:t>
      </w:r>
      <w:r>
        <w:rPr>
          <w:rFonts w:hint="eastAsia" w:cs="Times New Roman"/>
          <w:szCs w:val="24"/>
        </w:rPr>
        <w:t>it</w:t>
      </w:r>
      <w:r>
        <w:rPr>
          <w:rFonts w:cs="Times New Roman"/>
          <w:szCs w:val="24"/>
        </w:rPr>
        <w:t xml:space="preserve"> provides two kinds of ways to define control factors as needed. a) Select interested factors only. This means that those factors you want to control will be selected and listed in control factors panel while those unselected factors will be kept as baseline (equal to 1). To do this, users just need to check the interested factors from the left panel of </w:t>
      </w:r>
      <w:r>
        <w:rPr>
          <w:rFonts w:cs="Times New Roman"/>
          <w:szCs w:val="24"/>
        </w:rPr>
        <w:fldChar w:fldCharType="begin"/>
      </w:r>
      <w:r>
        <w:rPr>
          <w:rFonts w:cs="Times New Roman"/>
          <w:szCs w:val="24"/>
        </w:rPr>
        <w:instrText xml:space="preserve"> REF _Ref44406960 \h  \* MERGEFORMAT </w:instrText>
      </w:r>
      <w:r>
        <w:rPr>
          <w:rFonts w:cs="Times New Roman"/>
          <w:szCs w:val="24"/>
        </w:rPr>
        <w:fldChar w:fldCharType="separate"/>
      </w:r>
      <w:r>
        <w:t>Figure 38</w:t>
      </w:r>
      <w:r>
        <w:rPr>
          <w:rFonts w:cs="Times New Roman"/>
          <w:szCs w:val="24"/>
        </w:rPr>
        <w:fldChar w:fldCharType="end"/>
      </w:r>
      <w:r>
        <w:rPr>
          <w:rFonts w:cs="Times New Roman"/>
          <w:szCs w:val="24"/>
        </w:rPr>
        <w:t xml:space="preserve">(a), and then click “Select Desired Factors” to move these factors to right panel and finally click “OK” to return control factors panel. b) Select any combination of factors. </w:t>
      </w:r>
      <w:r>
        <w:rPr>
          <w:rFonts w:hint="eastAsia" w:cs="Times New Roman"/>
          <w:szCs w:val="24"/>
        </w:rPr>
        <w:t>This</w:t>
      </w:r>
      <w:r>
        <w:rPr>
          <w:rFonts w:cs="Times New Roman"/>
          <w:szCs w:val="24"/>
        </w:rPr>
        <w:t xml:space="preserve"> means that you can combine one or more factors to form a new factor by using “Combine Control Factors”, as shown in </w:t>
      </w:r>
      <w:r>
        <w:rPr>
          <w:rFonts w:cs="Times New Roman"/>
          <w:szCs w:val="24"/>
        </w:rPr>
        <w:fldChar w:fldCharType="begin"/>
      </w:r>
      <w:r>
        <w:rPr>
          <w:rFonts w:cs="Times New Roman"/>
          <w:szCs w:val="24"/>
        </w:rPr>
        <w:instrText xml:space="preserve"> REF _Ref44406960 \h  \* MERGEFORMAT </w:instrText>
      </w:r>
      <w:r>
        <w:rPr>
          <w:rFonts w:cs="Times New Roman"/>
          <w:szCs w:val="24"/>
        </w:rPr>
        <w:fldChar w:fldCharType="separate"/>
      </w:r>
      <w:r>
        <w:t>Figure 38</w:t>
      </w:r>
      <w:r>
        <w:rPr>
          <w:rFonts w:cs="Times New Roman"/>
          <w:szCs w:val="24"/>
        </w:rPr>
        <w:fldChar w:fldCharType="end"/>
      </w:r>
      <w:r>
        <w:rPr>
          <w:rFonts w:cs="Times New Roman"/>
          <w:szCs w:val="24"/>
        </w:rPr>
        <w:t>(b).</w:t>
      </w:r>
    </w:p>
    <w:p>
      <w:pPr>
        <w:spacing w:line="360" w:lineRule="auto"/>
        <w:ind w:firstLine="98" w:firstLineChars="41"/>
      </w:pPr>
    </w:p>
    <w:p>
      <w:pPr>
        <w:keepNext/>
        <w:keepLines w:val="0"/>
        <w:pageBreakBefore w:val="0"/>
        <w:widowControl/>
        <w:kinsoku/>
        <w:wordWrap/>
        <w:overflowPunct/>
        <w:topLinePunct w:val="0"/>
        <w:autoSpaceDE/>
        <w:autoSpaceDN/>
        <w:bidi w:val="0"/>
        <w:adjustRightInd w:val="0"/>
        <w:snapToGrid w:val="0"/>
        <w:spacing w:line="360" w:lineRule="auto"/>
        <w:jc w:val="center"/>
        <w:textAlignment w:val="auto"/>
      </w:pPr>
      <w:r>
        <w:drawing>
          <wp:inline distT="0" distB="0" distL="0" distR="0">
            <wp:extent cx="5245735" cy="2614930"/>
            <wp:effectExtent l="0" t="0" r="1206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266189" cy="2625313"/>
                    </a:xfrm>
                    <a:prstGeom prst="rect">
                      <a:avLst/>
                    </a:prstGeom>
                    <a:noFill/>
                  </pic:spPr>
                </pic:pic>
              </a:graphicData>
            </a:graphic>
          </wp:inline>
        </w:drawing>
      </w:r>
    </w:p>
    <w:p>
      <w:pPr>
        <w:pStyle w:val="39"/>
        <w:keepNext/>
        <w:keepLines w:val="0"/>
        <w:pageBreakBefore w:val="0"/>
        <w:widowControl w:val="0"/>
        <w:numPr>
          <w:ilvl w:val="0"/>
          <w:numId w:val="13"/>
        </w:numPr>
        <w:kinsoku/>
        <w:wordWrap/>
        <w:overflowPunct/>
        <w:topLinePunct w:val="0"/>
        <w:autoSpaceDE/>
        <w:autoSpaceDN/>
        <w:bidi w:val="0"/>
        <w:adjustRightInd/>
        <w:snapToGrid/>
        <w:spacing w:line="360" w:lineRule="auto"/>
        <w:ind w:left="420" w:hanging="420"/>
        <w:jc w:val="center"/>
        <w:textAlignment w:val="auto"/>
      </w:pPr>
      <w:r>
        <w:rPr>
          <w:rFonts w:cs="Times New Roman"/>
          <w:szCs w:val="20"/>
        </w:rPr>
        <w:t>Select interested factors only</w:t>
      </w:r>
    </w:p>
    <w:p>
      <w:pPr>
        <w:keepNext/>
        <w:keepLines w:val="0"/>
        <w:pageBreakBefore w:val="0"/>
        <w:widowControl/>
        <w:kinsoku/>
        <w:wordWrap/>
        <w:overflowPunct/>
        <w:topLinePunct w:val="0"/>
        <w:autoSpaceDE/>
        <w:autoSpaceDN/>
        <w:bidi w:val="0"/>
        <w:adjustRightInd w:val="0"/>
        <w:snapToGrid w:val="0"/>
        <w:spacing w:line="360" w:lineRule="auto"/>
        <w:jc w:val="center"/>
        <w:textAlignment w:val="auto"/>
      </w:pPr>
      <w:r>
        <w:drawing>
          <wp:inline distT="0" distB="0" distL="0" distR="0">
            <wp:extent cx="5271135" cy="2589530"/>
            <wp:effectExtent l="0" t="0" r="571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287520" cy="2597705"/>
                    </a:xfrm>
                    <a:prstGeom prst="rect">
                      <a:avLst/>
                    </a:prstGeom>
                    <a:noFill/>
                  </pic:spPr>
                </pic:pic>
              </a:graphicData>
            </a:graphic>
          </wp:inline>
        </w:drawing>
      </w:r>
    </w:p>
    <w:p>
      <w:pPr>
        <w:pStyle w:val="39"/>
        <w:keepNext/>
        <w:keepLines w:val="0"/>
        <w:pageBreakBefore w:val="0"/>
        <w:widowControl w:val="0"/>
        <w:numPr>
          <w:ilvl w:val="0"/>
          <w:numId w:val="13"/>
        </w:numPr>
        <w:kinsoku/>
        <w:wordWrap/>
        <w:overflowPunct/>
        <w:topLinePunct w:val="0"/>
        <w:autoSpaceDE/>
        <w:autoSpaceDN/>
        <w:bidi w:val="0"/>
        <w:adjustRightInd/>
        <w:snapToGrid/>
        <w:spacing w:line="360" w:lineRule="auto"/>
        <w:ind w:left="420" w:hanging="420"/>
        <w:jc w:val="center"/>
        <w:textAlignment w:val="auto"/>
      </w:pPr>
      <w:r>
        <w:t>Select any combination of factors</w:t>
      </w:r>
    </w:p>
    <w:p>
      <w:pPr>
        <w:pStyle w:val="11"/>
        <w:spacing w:line="360" w:lineRule="auto"/>
        <w:ind w:firstLine="240"/>
      </w:pPr>
      <w:bookmarkStart w:id="152" w:name="_Ref44406960"/>
      <w:bookmarkStart w:id="153" w:name="_Toc122982133"/>
      <w:r>
        <w:t xml:space="preserve">Figure </w:t>
      </w:r>
      <w:r>
        <w:fldChar w:fldCharType="begin"/>
      </w:r>
      <w:r>
        <w:instrText xml:space="preserve"> SEQ Fig. \* ARABIC </w:instrText>
      </w:r>
      <w:r>
        <w:fldChar w:fldCharType="separate"/>
      </w:r>
      <w:r>
        <w:t>38</w:t>
      </w:r>
      <w:r>
        <w:fldChar w:fldCharType="end"/>
      </w:r>
      <w:bookmarkEnd w:id="152"/>
      <w:r>
        <w:t>. User-defined control method</w:t>
      </w:r>
      <w:bookmarkEnd w:id="153"/>
    </w:p>
    <w:p>
      <w:pPr>
        <w:pStyle w:val="4"/>
        <w:rPr>
          <w:lang w:bidi="en-US"/>
        </w:rPr>
      </w:pPr>
      <w:r>
        <w:br w:type="page"/>
      </w:r>
      <w:bookmarkStart w:id="154" w:name="6_1_5_Edit_Model_Domin7D90665B"/>
      <w:bookmarkStart w:id="155" w:name="_Toc122982073"/>
      <w:bookmarkStart w:id="156" w:name="_Toc105573393"/>
      <w:r>
        <w:rPr>
          <w:lang w:bidi="en-US"/>
        </w:rPr>
        <w:t>Customize Model Domain</w:t>
      </w:r>
      <w:bookmarkEnd w:id="154"/>
      <w:bookmarkEnd w:id="155"/>
      <w:bookmarkEnd w:id="156"/>
    </w:p>
    <w:p>
      <w:pPr>
        <w:spacing w:line="360" w:lineRule="auto"/>
        <w:ind w:firstLine="240"/>
      </w:pPr>
      <w:r>
        <w:rPr>
          <w:color w:val="000000"/>
        </w:rPr>
        <w:t>FAST-CE allows the user to flexibly change the model domain.</w:t>
      </w:r>
    </w:p>
    <w:p>
      <w:pPr>
        <w:spacing w:line="360" w:lineRule="auto"/>
        <w:ind w:firstLine="240"/>
      </w:pPr>
      <w:r>
        <w:rPr>
          <w:color w:val="000000"/>
        </w:rPr>
        <w:t>Click the mini-map in the lower left corner of the main interface, a new "Edit Domain" window will be displayed.</w:t>
      </w:r>
    </w:p>
    <w:p>
      <w:pPr>
        <w:spacing w:line="360" w:lineRule="auto"/>
        <w:ind w:firstLine="240"/>
      </w:pPr>
      <w:r>
        <w:rPr>
          <w:color w:val="000000"/>
        </w:rPr>
        <w:t>Under the "Edit Domain" window, users can select a sub-range area as new model domain and click "OK", then the modified domain will be applied to all 2D/3D plots</w:t>
      </w:r>
    </w:p>
    <w:p>
      <w:pPr>
        <w:spacing w:line="360" w:lineRule="auto"/>
        <w:jc w:val="center"/>
        <w:rPr>
          <w:rFonts w:eastAsia="黑体" w:cstheme="majorBidi"/>
          <w:i/>
          <w:kern w:val="2"/>
          <w:sz w:val="20"/>
          <w:szCs w:val="20"/>
        </w:rPr>
      </w:pPr>
      <w:r>
        <w:drawing>
          <wp:inline distT="0" distB="0" distL="0" distR="0">
            <wp:extent cx="5274310" cy="2918460"/>
            <wp:effectExtent l="0" t="0" r="2540" b="0"/>
            <wp:docPr id="563" name="P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Pic 42"/>
                    <pic:cNvPicPr>
                      <a:picLocks noChangeAspect="1"/>
                    </pic:cNvPicPr>
                  </pic:nvPicPr>
                  <pic:blipFill>
                    <a:blip r:embed="rId55" cstate="print"/>
                    <a:stretch>
                      <a:fillRect/>
                    </a:stretch>
                  </pic:blipFill>
                  <pic:spPr>
                    <a:xfrm>
                      <a:off x="0" y="0"/>
                      <a:ext cx="5274310" cy="2918956"/>
                    </a:xfrm>
                    <a:prstGeom prst="rect">
                      <a:avLst/>
                    </a:prstGeom>
                  </pic:spPr>
                </pic:pic>
              </a:graphicData>
            </a:graphic>
          </wp:inline>
        </w:drawing>
      </w:r>
    </w:p>
    <w:p>
      <w:pPr>
        <w:spacing w:line="360" w:lineRule="auto"/>
        <w:jc w:val="center"/>
      </w:pPr>
      <w:bookmarkStart w:id="157" w:name="_Toc122982134"/>
      <w:r>
        <w:rPr>
          <w:rFonts w:eastAsia="黑体" w:cstheme="majorBidi"/>
          <w:i/>
          <w:kern w:val="2"/>
          <w:sz w:val="20"/>
          <w:szCs w:val="20"/>
        </w:rPr>
        <w:t xml:space="preserve">Figure </w:t>
      </w:r>
      <w:r>
        <w:rPr>
          <w:rFonts w:eastAsia="黑体" w:cstheme="majorBidi"/>
          <w:i/>
          <w:kern w:val="2"/>
          <w:sz w:val="20"/>
          <w:szCs w:val="20"/>
        </w:rPr>
        <w:fldChar w:fldCharType="begin"/>
      </w:r>
      <w:r>
        <w:rPr>
          <w:rFonts w:eastAsia="黑体" w:cstheme="majorBidi"/>
          <w:i/>
          <w:kern w:val="2"/>
          <w:sz w:val="20"/>
          <w:szCs w:val="20"/>
        </w:rPr>
        <w:instrText xml:space="preserve"> SEQ Fig. \* ARABIC </w:instrText>
      </w:r>
      <w:r>
        <w:rPr>
          <w:rFonts w:eastAsia="黑体" w:cstheme="majorBidi"/>
          <w:i/>
          <w:kern w:val="2"/>
          <w:sz w:val="20"/>
          <w:szCs w:val="20"/>
        </w:rPr>
        <w:fldChar w:fldCharType="separate"/>
      </w:r>
      <w:r>
        <w:rPr>
          <w:rFonts w:eastAsia="黑体" w:cstheme="majorBidi"/>
          <w:i/>
          <w:kern w:val="2"/>
          <w:sz w:val="20"/>
          <w:szCs w:val="20"/>
        </w:rPr>
        <w:t>39</w:t>
      </w:r>
      <w:r>
        <w:rPr>
          <w:rFonts w:eastAsia="黑体" w:cstheme="majorBidi"/>
          <w:i/>
          <w:kern w:val="2"/>
          <w:sz w:val="20"/>
          <w:szCs w:val="20"/>
        </w:rPr>
        <w:fldChar w:fldCharType="end"/>
      </w:r>
      <w:r>
        <w:rPr>
          <w:rFonts w:eastAsia="黑体" w:cstheme="majorBidi"/>
          <w:i/>
          <w:kern w:val="2"/>
          <w:sz w:val="20"/>
          <w:szCs w:val="20"/>
        </w:rPr>
        <w:t>. Edit the Model Domain</w:t>
      </w:r>
      <w:bookmarkEnd w:id="157"/>
    </w:p>
    <w:p>
      <w:pPr>
        <w:pStyle w:val="4"/>
      </w:pPr>
      <w:bookmarkStart w:id="158" w:name="_Toc122982074"/>
      <w:bookmarkStart w:id="159" w:name="6_1_6_Monitor_Point_DVs__Proje770B48A5"/>
      <w:bookmarkStart w:id="160" w:name="_Toc105573394"/>
      <w:r>
        <w:t>Monitor Point/DVs &amp; Projection module</w:t>
      </w:r>
      <w:bookmarkEnd w:id="158"/>
      <w:bookmarkEnd w:id="159"/>
      <w:bookmarkEnd w:id="160"/>
    </w:p>
    <w:p>
      <w:pPr>
        <w:spacing w:line="360" w:lineRule="auto"/>
        <w:ind w:firstLine="240"/>
      </w:pPr>
      <w:r>
        <w:rPr>
          <w:color w:val="000000"/>
        </w:rPr>
        <w:t>When user Input the monitor-based data by selecting the option “Use Monitor Points (DVs) data file” under the “Baseline AQ surface &amp; Emissions Input Option” and finish Running/Loading a “Monitor Projection” scenario, the “Monitor Plot” module will display all monitors on the Map and provide following functions:</w:t>
      </w:r>
    </w:p>
    <w:p>
      <w:pPr>
        <w:numPr>
          <w:ilvl w:val="1"/>
          <w:numId w:val="14"/>
        </w:numPr>
        <w:adjustRightInd/>
        <w:snapToGrid/>
        <w:spacing w:line="360" w:lineRule="auto"/>
      </w:pPr>
      <w:r>
        <w:rPr>
          <w:color w:val="000000"/>
        </w:rPr>
        <w:t>“Probe” function to show value when click monitor point</w:t>
      </w:r>
    </w:p>
    <w:p>
      <w:pPr>
        <w:numPr>
          <w:ilvl w:val="1"/>
          <w:numId w:val="14"/>
        </w:numPr>
        <w:adjustRightInd/>
        <w:snapToGrid/>
        <w:spacing w:line="360" w:lineRule="auto"/>
      </w:pPr>
      <w:r>
        <w:rPr>
          <w:color w:val="000000"/>
        </w:rPr>
        <w:t>Allow to configure the “size” and “color” of monitor points</w:t>
      </w:r>
    </w:p>
    <w:p>
      <w:pPr>
        <w:spacing w:line="360" w:lineRule="auto"/>
      </w:pPr>
      <w:r>
        <w:drawing>
          <wp:inline distT="0" distB="0" distL="0" distR="0">
            <wp:extent cx="5219700" cy="2924175"/>
            <wp:effectExtent l="0" t="0" r="0" b="0"/>
            <wp:docPr id="564" name="P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Pic 43"/>
                    <pic:cNvPicPr>
                      <a:picLocks noChangeAspect="1"/>
                    </pic:cNvPicPr>
                  </pic:nvPicPr>
                  <pic:blipFill>
                    <a:blip r:embed="rId56" cstate="print"/>
                    <a:stretch>
                      <a:fillRect/>
                    </a:stretch>
                  </pic:blipFill>
                  <pic:spPr>
                    <a:xfrm>
                      <a:off x="0" y="0"/>
                      <a:ext cx="5219700" cy="2924175"/>
                    </a:xfrm>
                    <a:prstGeom prst="rect">
                      <a:avLst/>
                    </a:prstGeom>
                  </pic:spPr>
                </pic:pic>
              </a:graphicData>
            </a:graphic>
          </wp:inline>
        </w:drawing>
      </w:r>
    </w:p>
    <w:p>
      <w:pPr>
        <w:pStyle w:val="11"/>
        <w:spacing w:line="360" w:lineRule="auto"/>
        <w:ind w:firstLine="240"/>
      </w:pPr>
      <w:bookmarkStart w:id="161" w:name="_Toc122982135"/>
      <w:r>
        <w:t xml:space="preserve">Figure </w:t>
      </w:r>
      <w:r>
        <w:fldChar w:fldCharType="begin"/>
      </w:r>
      <w:r>
        <w:instrText xml:space="preserve"> SEQ Fig. \* ARABIC </w:instrText>
      </w:r>
      <w:r>
        <w:fldChar w:fldCharType="separate"/>
      </w:r>
      <w:r>
        <w:t>40</w:t>
      </w:r>
      <w:r>
        <w:fldChar w:fldCharType="end"/>
      </w:r>
      <w:r>
        <w:t>. Configure Color and Size of Monitor Points</w:t>
      </w:r>
      <w:bookmarkEnd w:id="161"/>
    </w:p>
    <w:p>
      <w:pPr>
        <w:numPr>
          <w:ilvl w:val="1"/>
          <w:numId w:val="14"/>
        </w:numPr>
        <w:adjustRightInd/>
        <w:snapToGrid/>
        <w:spacing w:line="360" w:lineRule="auto"/>
      </w:pPr>
      <w:r>
        <w:rPr>
          <w:color w:val="000000"/>
        </w:rPr>
        <w:t>Allow to “zoom-in” “zoom-out” map</w:t>
      </w:r>
    </w:p>
    <w:p>
      <w:pPr>
        <w:numPr>
          <w:ilvl w:val="1"/>
          <w:numId w:val="14"/>
        </w:numPr>
        <w:adjustRightInd/>
        <w:snapToGrid/>
        <w:spacing w:line="360" w:lineRule="auto"/>
      </w:pPr>
      <w:r>
        <w:rPr>
          <w:color w:val="000000"/>
        </w:rPr>
        <w:t>Allow to “Compare” the difference of two selected scenarios</w:t>
      </w:r>
    </w:p>
    <w:p>
      <w:pPr>
        <w:pStyle w:val="11"/>
        <w:spacing w:line="360" w:lineRule="auto"/>
        <w:ind w:firstLine="240"/>
      </w:pPr>
      <w:r>
        <w:drawing>
          <wp:inline distT="0" distB="0" distL="0" distR="0">
            <wp:extent cx="5229225" cy="3181350"/>
            <wp:effectExtent l="0" t="0" r="0" b="0"/>
            <wp:docPr id="565" name="P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ic 44"/>
                    <pic:cNvPicPr>
                      <a:picLocks noChangeAspect="1"/>
                    </pic:cNvPicPr>
                  </pic:nvPicPr>
                  <pic:blipFill>
                    <a:blip r:embed="rId57" cstate="print"/>
                    <a:stretch>
                      <a:fillRect/>
                    </a:stretch>
                  </pic:blipFill>
                  <pic:spPr>
                    <a:xfrm>
                      <a:off x="0" y="0"/>
                      <a:ext cx="5229225" cy="3181350"/>
                    </a:xfrm>
                    <a:prstGeom prst="rect">
                      <a:avLst/>
                    </a:prstGeom>
                  </pic:spPr>
                </pic:pic>
              </a:graphicData>
            </a:graphic>
          </wp:inline>
        </w:drawing>
      </w:r>
      <w:r>
        <w:t xml:space="preserve"> </w:t>
      </w:r>
    </w:p>
    <w:p>
      <w:pPr>
        <w:pStyle w:val="11"/>
        <w:spacing w:line="360" w:lineRule="auto"/>
        <w:ind w:firstLine="240"/>
      </w:pPr>
      <w:bookmarkStart w:id="162" w:name="_Toc122982136"/>
      <w:r>
        <w:t xml:space="preserve">Figure </w:t>
      </w:r>
      <w:r>
        <w:fldChar w:fldCharType="begin"/>
      </w:r>
      <w:r>
        <w:instrText xml:space="preserve"> SEQ Fig. \* ARABIC </w:instrText>
      </w:r>
      <w:r>
        <w:fldChar w:fldCharType="separate"/>
      </w:r>
      <w:r>
        <w:t>41</w:t>
      </w:r>
      <w:r>
        <w:fldChar w:fldCharType="end"/>
      </w:r>
      <w:r>
        <w:t>. Compare the Selected Scenarios</w:t>
      </w:r>
      <w:bookmarkEnd w:id="162"/>
    </w:p>
    <w:p>
      <w:pPr>
        <w:spacing w:line="360" w:lineRule="auto"/>
      </w:pPr>
    </w:p>
    <w:p>
      <w:pPr>
        <w:numPr>
          <w:ilvl w:val="1"/>
          <w:numId w:val="14"/>
        </w:numPr>
        <w:adjustRightInd/>
        <w:snapToGrid/>
        <w:spacing w:line="360" w:lineRule="auto"/>
        <w:jc w:val="left"/>
      </w:pPr>
      <w:r>
        <w:rPr>
          <w:color w:val="000000"/>
        </w:rPr>
        <w:t>Allow to display VNA results.</w:t>
      </w:r>
    </w:p>
    <w:p>
      <w:pPr>
        <w:adjustRightInd/>
        <w:snapToGrid/>
        <w:spacing w:line="360" w:lineRule="auto"/>
        <w:jc w:val="center"/>
        <w:rPr>
          <w:rFonts w:eastAsia="黑体" w:cstheme="majorBidi"/>
          <w:i/>
          <w:kern w:val="2"/>
          <w:sz w:val="20"/>
          <w:szCs w:val="20"/>
        </w:rPr>
      </w:pPr>
      <w:r>
        <w:drawing>
          <wp:inline distT="0" distB="0" distL="0" distR="0">
            <wp:extent cx="5274310" cy="2994660"/>
            <wp:effectExtent l="0" t="0" r="2540" b="0"/>
            <wp:docPr id="566" name="P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 45"/>
                    <pic:cNvPicPr>
                      <a:picLocks noChangeAspect="1"/>
                    </pic:cNvPicPr>
                  </pic:nvPicPr>
                  <pic:blipFill>
                    <a:blip r:embed="rId58" cstate="print"/>
                    <a:stretch>
                      <a:fillRect/>
                    </a:stretch>
                  </pic:blipFill>
                  <pic:spPr>
                    <a:xfrm>
                      <a:off x="0" y="0"/>
                      <a:ext cx="5274310" cy="2994664"/>
                    </a:xfrm>
                    <a:prstGeom prst="rect">
                      <a:avLst/>
                    </a:prstGeom>
                  </pic:spPr>
                </pic:pic>
              </a:graphicData>
            </a:graphic>
          </wp:inline>
        </w:drawing>
      </w:r>
    </w:p>
    <w:p>
      <w:pPr>
        <w:adjustRightInd/>
        <w:snapToGrid/>
        <w:spacing w:line="360" w:lineRule="auto"/>
        <w:jc w:val="center"/>
      </w:pPr>
      <w:bookmarkStart w:id="163" w:name="_Toc122982137"/>
      <w:r>
        <w:rPr>
          <w:rFonts w:eastAsia="黑体" w:cstheme="majorBidi"/>
          <w:i/>
          <w:kern w:val="2"/>
          <w:sz w:val="20"/>
          <w:szCs w:val="20"/>
        </w:rPr>
        <w:t xml:space="preserve">Figure </w:t>
      </w:r>
      <w:r>
        <w:rPr>
          <w:rFonts w:eastAsia="黑体" w:cstheme="majorBidi"/>
          <w:i/>
          <w:kern w:val="2"/>
          <w:sz w:val="20"/>
          <w:szCs w:val="20"/>
        </w:rPr>
        <w:fldChar w:fldCharType="begin"/>
      </w:r>
      <w:r>
        <w:rPr>
          <w:rFonts w:eastAsia="黑体" w:cstheme="majorBidi"/>
          <w:i/>
          <w:kern w:val="2"/>
          <w:sz w:val="20"/>
          <w:szCs w:val="20"/>
        </w:rPr>
        <w:instrText xml:space="preserve"> SEQ Fig. \* ARABIC </w:instrText>
      </w:r>
      <w:r>
        <w:rPr>
          <w:rFonts w:eastAsia="黑体" w:cstheme="majorBidi"/>
          <w:i/>
          <w:kern w:val="2"/>
          <w:sz w:val="20"/>
          <w:szCs w:val="20"/>
        </w:rPr>
        <w:fldChar w:fldCharType="separate"/>
      </w:r>
      <w:r>
        <w:rPr>
          <w:rFonts w:eastAsia="黑体" w:cstheme="majorBidi"/>
          <w:i/>
          <w:kern w:val="2"/>
          <w:sz w:val="20"/>
          <w:szCs w:val="20"/>
        </w:rPr>
        <w:t>42</w:t>
      </w:r>
      <w:r>
        <w:rPr>
          <w:rFonts w:eastAsia="黑体" w:cstheme="majorBidi"/>
          <w:i/>
          <w:kern w:val="2"/>
          <w:sz w:val="20"/>
          <w:szCs w:val="20"/>
        </w:rPr>
        <w:fldChar w:fldCharType="end"/>
      </w:r>
      <w:r>
        <w:rPr>
          <w:rFonts w:eastAsia="黑体" w:cstheme="majorBidi"/>
          <w:i/>
          <w:kern w:val="2"/>
          <w:sz w:val="20"/>
          <w:szCs w:val="20"/>
        </w:rPr>
        <w:t>. Display VNA Results</w:t>
      </w:r>
      <w:bookmarkEnd w:id="163"/>
    </w:p>
    <w:p>
      <w:pPr>
        <w:numPr>
          <w:ilvl w:val="1"/>
          <w:numId w:val="14"/>
        </w:numPr>
        <w:adjustRightInd/>
        <w:snapToGrid/>
        <w:spacing w:line="360" w:lineRule="auto"/>
        <w:jc w:val="left"/>
      </w:pPr>
      <w:r>
        <w:rPr>
          <w:color w:val="000000"/>
        </w:rPr>
        <w:t>Output Contribution Table</w:t>
      </w:r>
    </w:p>
    <w:p>
      <w:pPr>
        <w:spacing w:line="360" w:lineRule="auto"/>
      </w:pPr>
      <w:r>
        <w:tab/>
      </w:r>
      <w:r>
        <w:rPr>
          <w:color w:val="000000"/>
        </w:rPr>
        <w:t>FAST-CE can also calculate the contributions to all Monitor point/DVs and extract the summary table as *.csv file.</w:t>
      </w:r>
    </w:p>
    <w:p>
      <w:pPr>
        <w:numPr>
          <w:ilvl w:val="0"/>
          <w:numId w:val="15"/>
        </w:numPr>
        <w:adjustRightInd/>
        <w:snapToGrid/>
        <w:spacing w:line="360" w:lineRule="auto"/>
      </w:pPr>
      <w:r>
        <w:rPr>
          <w:color w:val="000000"/>
        </w:rPr>
        <w:t>Click the "Output Contribution Table" button and select the output file path:</w:t>
      </w:r>
    </w:p>
    <w:p>
      <w:pPr>
        <w:spacing w:line="360" w:lineRule="auto"/>
        <w:jc w:val="center"/>
        <w:rPr>
          <w:rFonts w:eastAsia="黑体" w:cstheme="majorBidi"/>
          <w:i/>
          <w:sz w:val="20"/>
          <w:szCs w:val="20"/>
        </w:rPr>
      </w:pPr>
      <w:r>
        <w:drawing>
          <wp:inline distT="0" distB="0" distL="0" distR="0">
            <wp:extent cx="5798820" cy="3307715"/>
            <wp:effectExtent l="0" t="0" r="0" b="6985"/>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802588" cy="3309862"/>
                    </a:xfrm>
                    <a:prstGeom prst="rect">
                      <a:avLst/>
                    </a:prstGeom>
                    <a:noFill/>
                  </pic:spPr>
                </pic:pic>
              </a:graphicData>
            </a:graphic>
          </wp:inline>
        </w:drawing>
      </w:r>
    </w:p>
    <w:p>
      <w:pPr>
        <w:spacing w:line="360" w:lineRule="auto"/>
        <w:jc w:val="center"/>
        <w:rPr>
          <w:rFonts w:eastAsia="黑体" w:cstheme="majorBidi"/>
          <w:b/>
          <w:i/>
          <w:sz w:val="20"/>
          <w:szCs w:val="20"/>
        </w:rPr>
      </w:pPr>
      <w:bookmarkStart w:id="164" w:name="_Toc122982138"/>
      <w:r>
        <w:rPr>
          <w:rFonts w:eastAsia="黑体" w:cstheme="majorBidi"/>
          <w:i/>
          <w:sz w:val="20"/>
          <w:szCs w:val="20"/>
        </w:rPr>
        <w:t xml:space="preserve">Figure </w:t>
      </w:r>
      <w:r>
        <w:rPr>
          <w:rFonts w:eastAsia="黑体" w:cstheme="majorBidi"/>
          <w:b/>
          <w:i/>
          <w:sz w:val="20"/>
          <w:szCs w:val="20"/>
        </w:rPr>
        <w:fldChar w:fldCharType="begin"/>
      </w:r>
      <w:r>
        <w:rPr>
          <w:rFonts w:eastAsia="黑体" w:cstheme="majorBidi"/>
          <w:i/>
          <w:sz w:val="20"/>
          <w:szCs w:val="20"/>
        </w:rPr>
        <w:instrText xml:space="preserve"> SEQ Fig. \* ARABIC </w:instrText>
      </w:r>
      <w:r>
        <w:rPr>
          <w:rFonts w:eastAsia="黑体" w:cstheme="majorBidi"/>
          <w:b/>
          <w:i/>
          <w:sz w:val="20"/>
          <w:szCs w:val="20"/>
        </w:rPr>
        <w:fldChar w:fldCharType="separate"/>
      </w:r>
      <w:r>
        <w:rPr>
          <w:rFonts w:eastAsia="黑体" w:cstheme="majorBidi"/>
          <w:i/>
          <w:sz w:val="20"/>
          <w:szCs w:val="20"/>
        </w:rPr>
        <w:t>43</w:t>
      </w:r>
      <w:r>
        <w:rPr>
          <w:rFonts w:eastAsia="黑体" w:cstheme="majorBidi"/>
          <w:b/>
          <w:i/>
          <w:sz w:val="20"/>
          <w:szCs w:val="20"/>
        </w:rPr>
        <w:fldChar w:fldCharType="end"/>
      </w:r>
      <w:r>
        <w:rPr>
          <w:rFonts w:eastAsia="黑体" w:cstheme="majorBidi"/>
          <w:b/>
          <w:i/>
          <w:sz w:val="20"/>
          <w:szCs w:val="20"/>
        </w:rPr>
        <w:t>.</w:t>
      </w:r>
      <w:r>
        <w:rPr>
          <w:rFonts w:eastAsia="黑体" w:cstheme="majorBidi"/>
          <w:i/>
          <w:sz w:val="20"/>
          <w:szCs w:val="20"/>
        </w:rPr>
        <w:t xml:space="preserve"> Output contribution table</w:t>
      </w:r>
      <w:bookmarkEnd w:id="164"/>
    </w:p>
    <w:p>
      <w:pPr>
        <w:numPr>
          <w:ilvl w:val="0"/>
          <w:numId w:val="15"/>
        </w:numPr>
        <w:adjustRightInd/>
        <w:snapToGrid/>
        <w:spacing w:line="360" w:lineRule="auto"/>
      </w:pPr>
      <w:r>
        <w:rPr>
          <w:color w:val="000000"/>
        </w:rPr>
        <w:t>The summary table will be shown as below:</w:t>
      </w:r>
    </w:p>
    <w:p>
      <w:pPr>
        <w:spacing w:line="360" w:lineRule="auto"/>
        <w:jc w:val="center"/>
        <w:rPr>
          <w:rFonts w:eastAsia="黑体" w:cstheme="majorBidi"/>
          <w:i/>
          <w:sz w:val="20"/>
          <w:szCs w:val="20"/>
        </w:rPr>
      </w:pPr>
      <w:r>
        <w:drawing>
          <wp:inline distT="0" distB="0" distL="0" distR="0">
            <wp:extent cx="5274310" cy="1640205"/>
            <wp:effectExtent l="0" t="0" r="2540" b="0"/>
            <wp:docPr id="8" name="P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 47"/>
                    <pic:cNvPicPr>
                      <a:picLocks noChangeAspect="1"/>
                    </pic:cNvPicPr>
                  </pic:nvPicPr>
                  <pic:blipFill>
                    <a:blip r:embed="rId60" cstate="print"/>
                    <a:stretch>
                      <a:fillRect/>
                    </a:stretch>
                  </pic:blipFill>
                  <pic:spPr>
                    <a:xfrm>
                      <a:off x="0" y="0"/>
                      <a:ext cx="5274310" cy="1640336"/>
                    </a:xfrm>
                    <a:prstGeom prst="rect">
                      <a:avLst/>
                    </a:prstGeom>
                  </pic:spPr>
                </pic:pic>
              </a:graphicData>
            </a:graphic>
          </wp:inline>
        </w:drawing>
      </w:r>
    </w:p>
    <w:p>
      <w:pPr>
        <w:spacing w:line="360" w:lineRule="auto"/>
        <w:jc w:val="center"/>
        <w:rPr>
          <w:rFonts w:eastAsia="黑体" w:cstheme="majorBidi"/>
          <w:i/>
          <w:sz w:val="20"/>
          <w:szCs w:val="20"/>
        </w:rPr>
      </w:pPr>
      <w:bookmarkStart w:id="165" w:name="_Toc122982139"/>
      <w:r>
        <w:rPr>
          <w:rFonts w:eastAsia="黑体" w:cstheme="majorBidi"/>
          <w:i/>
          <w:sz w:val="20"/>
          <w:szCs w:val="20"/>
        </w:rPr>
        <w:t xml:space="preserve">Figure </w:t>
      </w:r>
      <w:r>
        <w:rPr>
          <w:rFonts w:eastAsia="黑体" w:cstheme="majorBidi"/>
          <w:b/>
          <w:i/>
          <w:sz w:val="20"/>
          <w:szCs w:val="20"/>
        </w:rPr>
        <w:fldChar w:fldCharType="begin"/>
      </w:r>
      <w:r>
        <w:rPr>
          <w:rFonts w:eastAsia="黑体" w:cstheme="majorBidi"/>
          <w:i/>
          <w:sz w:val="20"/>
          <w:szCs w:val="20"/>
        </w:rPr>
        <w:instrText xml:space="preserve"> SEQ Fig. \* ARABIC </w:instrText>
      </w:r>
      <w:r>
        <w:rPr>
          <w:rFonts w:eastAsia="黑体" w:cstheme="majorBidi"/>
          <w:b/>
          <w:i/>
          <w:sz w:val="20"/>
          <w:szCs w:val="20"/>
        </w:rPr>
        <w:fldChar w:fldCharType="separate"/>
      </w:r>
      <w:r>
        <w:rPr>
          <w:rFonts w:eastAsia="黑体" w:cstheme="majorBidi"/>
          <w:i/>
          <w:sz w:val="20"/>
          <w:szCs w:val="20"/>
        </w:rPr>
        <w:t>44</w:t>
      </w:r>
      <w:r>
        <w:rPr>
          <w:rFonts w:eastAsia="黑体" w:cstheme="majorBidi"/>
          <w:b/>
          <w:i/>
          <w:sz w:val="20"/>
          <w:szCs w:val="20"/>
        </w:rPr>
        <w:fldChar w:fldCharType="end"/>
      </w:r>
      <w:r>
        <w:rPr>
          <w:rFonts w:eastAsia="黑体" w:cstheme="majorBidi"/>
          <w:b/>
          <w:i/>
          <w:sz w:val="20"/>
          <w:szCs w:val="20"/>
        </w:rPr>
        <w:t>.</w:t>
      </w:r>
      <w:r>
        <w:rPr>
          <w:rFonts w:eastAsia="黑体" w:cstheme="majorBidi"/>
          <w:i/>
          <w:sz w:val="20"/>
          <w:szCs w:val="20"/>
        </w:rPr>
        <w:t xml:space="preserve"> Output summary table of contributions to all O</w:t>
      </w:r>
      <w:r>
        <w:rPr>
          <w:rFonts w:eastAsia="黑体" w:cstheme="majorBidi"/>
          <w:i/>
          <w:sz w:val="20"/>
          <w:szCs w:val="20"/>
          <w:vertAlign w:val="subscript"/>
        </w:rPr>
        <w:t>3</w:t>
      </w:r>
      <w:r>
        <w:rPr>
          <w:rFonts w:eastAsia="黑体" w:cstheme="majorBidi"/>
          <w:i/>
          <w:sz w:val="20"/>
          <w:szCs w:val="20"/>
        </w:rPr>
        <w:t xml:space="preserve"> monitors</w:t>
      </w:r>
      <w:bookmarkEnd w:id="165"/>
    </w:p>
    <w:p>
      <w:pPr>
        <w:pStyle w:val="4"/>
      </w:pPr>
      <w:bookmarkStart w:id="166" w:name="Display_PM_Species_valueB51FC9A3"/>
      <w:bookmarkStart w:id="167" w:name="_Toc105573395"/>
      <w:bookmarkStart w:id="168" w:name="_Toc122982075"/>
      <w:r>
        <w:t>Display PM Species value</w:t>
      </w:r>
      <w:bookmarkEnd w:id="166"/>
      <w:bookmarkEnd w:id="167"/>
      <w:bookmarkEnd w:id="168"/>
    </w:p>
    <w:p>
      <w:pPr>
        <w:spacing w:line="360" w:lineRule="auto"/>
      </w:pPr>
      <w:r>
        <w:rPr>
          <w:color w:val="000000"/>
        </w:rPr>
        <w:t>For PM</w:t>
      </w:r>
      <w:r>
        <w:rPr>
          <w:color w:val="000000"/>
          <w:position w:val="-6"/>
          <w:sz w:val="16"/>
        </w:rPr>
        <w:t>2.5</w:t>
      </w:r>
      <w:r>
        <w:rPr>
          <w:color w:val="000000"/>
        </w:rPr>
        <w:t xml:space="preserve"> analysis, users can display the PM species concentration/response value under 2D/3D plot. This function is available only when the “Include PM Species” and “SMAT-CE adjustment” options are checked.</w:t>
      </w:r>
    </w:p>
    <w:p>
      <w:pPr>
        <w:spacing w:line="360" w:lineRule="auto"/>
        <w:jc w:val="center"/>
        <w:rPr>
          <w:rFonts w:eastAsia="黑体" w:cstheme="majorBidi"/>
          <w:i/>
          <w:sz w:val="20"/>
          <w:szCs w:val="20"/>
        </w:rPr>
      </w:pPr>
      <w:r>
        <w:drawing>
          <wp:inline distT="0" distB="0" distL="0" distR="0">
            <wp:extent cx="5274310" cy="3801745"/>
            <wp:effectExtent l="0" t="0" r="2540" b="8255"/>
            <wp:docPr id="12" name="P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 48"/>
                    <pic:cNvPicPr>
                      <a:picLocks noChangeAspect="1"/>
                    </pic:cNvPicPr>
                  </pic:nvPicPr>
                  <pic:blipFill>
                    <a:blip r:embed="rId61" cstate="print"/>
                    <a:stretch>
                      <a:fillRect/>
                    </a:stretch>
                  </pic:blipFill>
                  <pic:spPr>
                    <a:xfrm>
                      <a:off x="0" y="0"/>
                      <a:ext cx="5274310" cy="3802214"/>
                    </a:xfrm>
                    <a:prstGeom prst="rect">
                      <a:avLst/>
                    </a:prstGeom>
                  </pic:spPr>
                </pic:pic>
              </a:graphicData>
            </a:graphic>
          </wp:inline>
        </w:drawing>
      </w:r>
    </w:p>
    <w:p>
      <w:pPr>
        <w:spacing w:line="360" w:lineRule="auto"/>
        <w:jc w:val="center"/>
        <w:rPr>
          <w:rFonts w:eastAsia="黑体" w:cstheme="majorBidi"/>
          <w:i/>
          <w:sz w:val="20"/>
          <w:szCs w:val="20"/>
        </w:rPr>
      </w:pPr>
      <w:bookmarkStart w:id="169" w:name="_Toc122982140"/>
      <w:r>
        <w:rPr>
          <w:rFonts w:eastAsia="黑体" w:cstheme="majorBidi"/>
          <w:i/>
          <w:sz w:val="20"/>
          <w:szCs w:val="20"/>
        </w:rPr>
        <w:t xml:space="preserve">Figure </w:t>
      </w:r>
      <w:r>
        <w:rPr>
          <w:rFonts w:eastAsia="黑体" w:cstheme="majorBidi"/>
          <w:b/>
          <w:i/>
          <w:sz w:val="20"/>
          <w:szCs w:val="20"/>
        </w:rPr>
        <w:fldChar w:fldCharType="begin"/>
      </w:r>
      <w:r>
        <w:rPr>
          <w:rFonts w:eastAsia="黑体" w:cstheme="majorBidi"/>
          <w:i/>
          <w:sz w:val="20"/>
          <w:szCs w:val="20"/>
        </w:rPr>
        <w:instrText xml:space="preserve"> SEQ Fig. \* ARABIC </w:instrText>
      </w:r>
      <w:r>
        <w:rPr>
          <w:rFonts w:eastAsia="黑体" w:cstheme="majorBidi"/>
          <w:b/>
          <w:i/>
          <w:sz w:val="20"/>
          <w:szCs w:val="20"/>
        </w:rPr>
        <w:fldChar w:fldCharType="separate"/>
      </w:r>
      <w:r>
        <w:rPr>
          <w:rFonts w:eastAsia="黑体" w:cstheme="majorBidi"/>
          <w:i/>
          <w:sz w:val="20"/>
          <w:szCs w:val="20"/>
        </w:rPr>
        <w:t>45</w:t>
      </w:r>
      <w:r>
        <w:rPr>
          <w:rFonts w:eastAsia="黑体" w:cstheme="majorBidi"/>
          <w:b/>
          <w:i/>
          <w:sz w:val="20"/>
          <w:szCs w:val="20"/>
        </w:rPr>
        <w:fldChar w:fldCharType="end"/>
      </w:r>
      <w:r>
        <w:rPr>
          <w:rFonts w:eastAsia="黑体" w:cstheme="majorBidi"/>
          <w:b/>
          <w:i/>
          <w:sz w:val="20"/>
          <w:szCs w:val="20"/>
        </w:rPr>
        <w:t>.</w:t>
      </w:r>
      <w:r>
        <w:rPr>
          <w:rFonts w:eastAsia="黑体" w:cstheme="majorBidi"/>
          <w:i/>
          <w:sz w:val="20"/>
          <w:szCs w:val="20"/>
        </w:rPr>
        <w:t xml:space="preserve"> Display the PM Species Value</w:t>
      </w:r>
      <w:bookmarkEnd w:id="169"/>
    </w:p>
    <w:p>
      <w:pPr>
        <w:pStyle w:val="4"/>
      </w:pPr>
      <w:bookmarkStart w:id="170" w:name="_EJ/Demographics_Data_module"/>
      <w:bookmarkEnd w:id="170"/>
      <w:bookmarkStart w:id="171" w:name="_Toc105573396"/>
      <w:bookmarkStart w:id="172" w:name="EJ_Demographics_Data_moduleF4886140"/>
      <w:bookmarkStart w:id="173" w:name="_Toc122982076"/>
      <w:r>
        <w:t>EJ/Demographics Data module</w:t>
      </w:r>
      <w:bookmarkEnd w:id="171"/>
      <w:bookmarkEnd w:id="172"/>
      <w:bookmarkEnd w:id="173"/>
    </w:p>
    <w:p>
      <w:pPr>
        <w:spacing w:line="360" w:lineRule="auto"/>
      </w:pPr>
      <w:r>
        <w:t xml:space="preserve">Users can choose whether to enable the EJ/Demographics Data module and navigate to the EJ/Demographics data files directory in "Startup Option" plot. Note that the </w:t>
      </w:r>
      <w:r>
        <w:rPr>
          <w:color w:val="000000"/>
        </w:rPr>
        <w:t>EJ/Demographics function only available when the EJ</w:t>
      </w:r>
      <w:r>
        <w:rPr>
          <w:rFonts w:hint="eastAsia"/>
          <w:color w:val="000000"/>
        </w:rPr>
        <w:t>/</w:t>
      </w:r>
      <w:r>
        <w:rPr>
          <w:color w:val="000000"/>
        </w:rPr>
        <w:t>GCAM Data package is installed.</w:t>
      </w:r>
    </w:p>
    <w:p>
      <w:pPr>
        <w:spacing w:line="360" w:lineRule="auto"/>
      </w:pPr>
      <w:r>
        <w:drawing>
          <wp:inline distT="0" distB="0" distL="0" distR="0">
            <wp:extent cx="5273040" cy="3818255"/>
            <wp:effectExtent l="0" t="0" r="3810" b="0"/>
            <wp:docPr id="18" name="P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 49"/>
                    <pic:cNvPicPr>
                      <a:picLocks noChangeAspect="1"/>
                    </pic:cNvPicPr>
                  </pic:nvPicPr>
                  <pic:blipFill>
                    <a:blip r:embed="rId62" cstate="print"/>
                    <a:srcRect t="4022"/>
                    <a:stretch>
                      <a:fillRect/>
                    </a:stretch>
                  </pic:blipFill>
                  <pic:spPr>
                    <a:xfrm>
                      <a:off x="0" y="0"/>
                      <a:ext cx="5274310" cy="3818821"/>
                    </a:xfrm>
                    <a:prstGeom prst="rect">
                      <a:avLst/>
                    </a:prstGeom>
                    <a:ln>
                      <a:noFill/>
                    </a:ln>
                  </pic:spPr>
                </pic:pic>
              </a:graphicData>
            </a:graphic>
          </wp:inline>
        </w:drawing>
      </w:r>
    </w:p>
    <w:p>
      <w:pPr>
        <w:spacing w:line="360" w:lineRule="auto"/>
        <w:jc w:val="center"/>
        <w:rPr>
          <w:rFonts w:eastAsia="黑体" w:cstheme="majorBidi"/>
          <w:i/>
          <w:sz w:val="20"/>
          <w:szCs w:val="20"/>
        </w:rPr>
      </w:pPr>
      <w:bookmarkStart w:id="174" w:name="_Toc122982141"/>
      <w:r>
        <w:rPr>
          <w:rFonts w:eastAsia="黑体" w:cstheme="majorBidi"/>
          <w:i/>
          <w:sz w:val="20"/>
          <w:szCs w:val="20"/>
        </w:rPr>
        <w:t xml:space="preserve">Figure </w:t>
      </w:r>
      <w:r>
        <w:rPr>
          <w:rFonts w:eastAsia="黑体" w:cstheme="majorBidi"/>
          <w:b/>
          <w:i/>
          <w:sz w:val="20"/>
          <w:szCs w:val="20"/>
        </w:rPr>
        <w:fldChar w:fldCharType="begin"/>
      </w:r>
      <w:r>
        <w:rPr>
          <w:rFonts w:eastAsia="黑体" w:cstheme="majorBidi"/>
          <w:i/>
          <w:sz w:val="20"/>
          <w:szCs w:val="20"/>
        </w:rPr>
        <w:instrText xml:space="preserve"> SEQ Fig. \* ARABIC </w:instrText>
      </w:r>
      <w:r>
        <w:rPr>
          <w:rFonts w:eastAsia="黑体" w:cstheme="majorBidi"/>
          <w:b/>
          <w:i/>
          <w:sz w:val="20"/>
          <w:szCs w:val="20"/>
        </w:rPr>
        <w:fldChar w:fldCharType="separate"/>
      </w:r>
      <w:r>
        <w:rPr>
          <w:rFonts w:eastAsia="黑体" w:cstheme="majorBidi"/>
          <w:i/>
          <w:sz w:val="20"/>
          <w:szCs w:val="20"/>
        </w:rPr>
        <w:t>46</w:t>
      </w:r>
      <w:r>
        <w:rPr>
          <w:rFonts w:eastAsia="黑体" w:cstheme="majorBidi"/>
          <w:b/>
          <w:i/>
          <w:sz w:val="20"/>
          <w:szCs w:val="20"/>
        </w:rPr>
        <w:fldChar w:fldCharType="end"/>
      </w:r>
      <w:r>
        <w:rPr>
          <w:rFonts w:eastAsia="黑体" w:cstheme="majorBidi"/>
          <w:b/>
          <w:i/>
          <w:sz w:val="20"/>
          <w:szCs w:val="20"/>
        </w:rPr>
        <w:t>.</w:t>
      </w:r>
      <w:r>
        <w:rPr>
          <w:rFonts w:eastAsia="黑体" w:cstheme="majorBidi"/>
          <w:i/>
          <w:sz w:val="20"/>
          <w:szCs w:val="20"/>
        </w:rPr>
        <w:t xml:space="preserve"> Enable EJ/Demographics Data Module</w:t>
      </w:r>
      <w:bookmarkEnd w:id="174"/>
    </w:p>
    <w:p>
      <w:pPr>
        <w:spacing w:line="360" w:lineRule="auto"/>
      </w:pPr>
      <w:r>
        <w:rPr>
          <w:color w:val="000000"/>
        </w:rPr>
        <w:t>If user enable overlaying EJ/Demographic layer, the “EJ/Demographics Data” option will be added to the right-click menu under 2D plot.</w:t>
      </w:r>
    </w:p>
    <w:p>
      <w:pPr>
        <w:spacing w:line="360" w:lineRule="auto"/>
        <w:jc w:val="center"/>
      </w:pPr>
      <w:r>
        <w:drawing>
          <wp:inline distT="0" distB="0" distL="0" distR="0">
            <wp:extent cx="5273675" cy="3656330"/>
            <wp:effectExtent l="0" t="0" r="3175" b="1270"/>
            <wp:docPr id="20" name="P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 50"/>
                    <pic:cNvPicPr>
                      <a:picLocks noChangeAspect="1"/>
                    </pic:cNvPicPr>
                  </pic:nvPicPr>
                  <pic:blipFill>
                    <a:blip r:embed="rId63" cstate="print"/>
                    <a:srcRect t="3616"/>
                    <a:stretch>
                      <a:fillRect/>
                    </a:stretch>
                  </pic:blipFill>
                  <pic:spPr>
                    <a:xfrm>
                      <a:off x="0" y="0"/>
                      <a:ext cx="5274310" cy="3656631"/>
                    </a:xfrm>
                    <a:prstGeom prst="rect">
                      <a:avLst/>
                    </a:prstGeom>
                    <a:ln>
                      <a:noFill/>
                    </a:ln>
                  </pic:spPr>
                </pic:pic>
              </a:graphicData>
            </a:graphic>
          </wp:inline>
        </w:drawing>
      </w:r>
    </w:p>
    <w:p>
      <w:pPr>
        <w:pStyle w:val="11"/>
        <w:spacing w:line="360" w:lineRule="auto"/>
      </w:pPr>
      <w:bookmarkStart w:id="175" w:name="_Toc122982142"/>
      <w:r>
        <w:t xml:space="preserve">Figure </w:t>
      </w:r>
      <w:r>
        <w:fldChar w:fldCharType="begin"/>
      </w:r>
      <w:r>
        <w:instrText xml:space="preserve"> SEQ Fig. \* ARABIC </w:instrText>
      </w:r>
      <w:r>
        <w:fldChar w:fldCharType="separate"/>
      </w:r>
      <w:r>
        <w:t>47</w:t>
      </w:r>
      <w:r>
        <w:fldChar w:fldCharType="end"/>
      </w:r>
      <w:r>
        <w:t>. "EJ/Demographics Data" Option in Right-click Menu</w:t>
      </w:r>
      <w:bookmarkEnd w:id="175"/>
    </w:p>
    <w:p>
      <w:pPr>
        <w:spacing w:line="360" w:lineRule="auto"/>
        <w:rPr>
          <w:rFonts w:eastAsia="黑体" w:cstheme="majorBidi"/>
          <w:i/>
          <w:sz w:val="20"/>
          <w:szCs w:val="20"/>
        </w:rPr>
      </w:pPr>
      <w:r>
        <w:rPr>
          <w:color w:val="000000"/>
        </w:rPr>
        <w:t>When right-click the “EJ/Demographics Data”, user will be asked to set the EJ/Demographics Data. After clicking the "Confirm" button, the “EJ/Demographics Data” layer will be de displayed. FAST-CE also allows the user to flexibly change the EJ index and show the corresponding “EJ/Demographics Data” layer in real-time</w:t>
      </w:r>
      <w:r>
        <w:drawing>
          <wp:inline distT="0" distB="0" distL="0" distR="0">
            <wp:extent cx="5274310" cy="3506470"/>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64" cstate="print">
                      <a:extLst>
                        <a:ext uri="{28A0092B-C50C-407E-A947-70E740481C1C}">
                          <a14:useLocalDpi xmlns:a14="http://schemas.microsoft.com/office/drawing/2010/main" val="0"/>
                        </a:ext>
                      </a:extLst>
                    </a:blip>
                    <a:srcRect t="3562"/>
                    <a:stretch>
                      <a:fillRect/>
                    </a:stretch>
                  </pic:blipFill>
                  <pic:spPr>
                    <a:xfrm>
                      <a:off x="0" y="0"/>
                      <a:ext cx="5274310" cy="3506470"/>
                    </a:xfrm>
                    <a:prstGeom prst="rect">
                      <a:avLst/>
                    </a:prstGeom>
                    <a:noFill/>
                    <a:ln>
                      <a:noFill/>
                    </a:ln>
                  </pic:spPr>
                </pic:pic>
              </a:graphicData>
            </a:graphic>
          </wp:inline>
        </w:drawing>
      </w:r>
      <w:r>
        <w:rPr>
          <w:rFonts w:eastAsia="黑体" w:cstheme="majorBidi"/>
          <w:i/>
          <w:sz w:val="20"/>
          <w:szCs w:val="20"/>
        </w:rPr>
        <w:t xml:space="preserve"> </w:t>
      </w:r>
    </w:p>
    <w:p>
      <w:pPr>
        <w:spacing w:line="360" w:lineRule="auto"/>
        <w:jc w:val="center"/>
        <w:rPr>
          <w:rFonts w:eastAsia="黑体" w:cstheme="majorBidi"/>
          <w:i/>
          <w:sz w:val="20"/>
          <w:szCs w:val="20"/>
        </w:rPr>
      </w:pPr>
      <w:bookmarkStart w:id="176" w:name="_Toc122982143"/>
      <w:r>
        <w:rPr>
          <w:rFonts w:eastAsia="黑体" w:cstheme="majorBidi"/>
          <w:i/>
          <w:sz w:val="20"/>
          <w:szCs w:val="20"/>
        </w:rPr>
        <w:t xml:space="preserve">Figure </w:t>
      </w:r>
      <w:r>
        <w:rPr>
          <w:rFonts w:eastAsia="黑体" w:cstheme="majorBidi"/>
          <w:b/>
          <w:i/>
          <w:sz w:val="20"/>
          <w:szCs w:val="20"/>
        </w:rPr>
        <w:fldChar w:fldCharType="begin"/>
      </w:r>
      <w:r>
        <w:rPr>
          <w:rFonts w:eastAsia="黑体" w:cstheme="majorBidi"/>
          <w:i/>
          <w:sz w:val="20"/>
          <w:szCs w:val="20"/>
        </w:rPr>
        <w:instrText xml:space="preserve"> SEQ Fig. \* ARABIC </w:instrText>
      </w:r>
      <w:r>
        <w:rPr>
          <w:rFonts w:eastAsia="黑体" w:cstheme="majorBidi"/>
          <w:b/>
          <w:i/>
          <w:sz w:val="20"/>
          <w:szCs w:val="20"/>
        </w:rPr>
        <w:fldChar w:fldCharType="separate"/>
      </w:r>
      <w:r>
        <w:rPr>
          <w:rFonts w:eastAsia="黑体" w:cstheme="majorBidi"/>
          <w:i/>
          <w:sz w:val="20"/>
          <w:szCs w:val="20"/>
        </w:rPr>
        <w:t>48</w:t>
      </w:r>
      <w:r>
        <w:rPr>
          <w:rFonts w:eastAsia="黑体" w:cstheme="majorBidi"/>
          <w:b/>
          <w:i/>
          <w:sz w:val="20"/>
          <w:szCs w:val="20"/>
        </w:rPr>
        <w:fldChar w:fldCharType="end"/>
      </w:r>
      <w:r>
        <w:rPr>
          <w:rFonts w:eastAsia="黑体" w:cstheme="majorBidi"/>
          <w:b/>
          <w:i/>
          <w:sz w:val="20"/>
          <w:szCs w:val="20"/>
        </w:rPr>
        <w:t>.</w:t>
      </w:r>
      <w:r>
        <w:rPr>
          <w:rFonts w:eastAsia="黑体" w:cstheme="majorBidi"/>
          <w:i/>
          <w:sz w:val="20"/>
          <w:szCs w:val="20"/>
        </w:rPr>
        <w:t xml:space="preserve"> EJ/Demographics Setting Plot</w:t>
      </w:r>
      <w:bookmarkEnd w:id="176"/>
    </w:p>
    <w:p>
      <w:pPr>
        <w:spacing w:line="360" w:lineRule="auto"/>
        <w:jc w:val="center"/>
      </w:pPr>
    </w:p>
    <w:p>
      <w:pPr>
        <w:pStyle w:val="3"/>
      </w:pPr>
      <w:bookmarkStart w:id="177" w:name="_Toc122982077"/>
      <w:r>
        <w:t>Receptor Analysis</w:t>
      </w:r>
      <w:bookmarkEnd w:id="177"/>
    </w:p>
    <w:p>
      <w:pPr>
        <w:spacing w:line="360" w:lineRule="auto"/>
      </w:pPr>
      <w:r>
        <w:t xml:space="preserve">Under the </w:t>
      </w:r>
      <w:r>
        <w:rPr>
          <w:b/>
        </w:rPr>
        <w:t>Receptor Analysis</w:t>
      </w:r>
      <w:r>
        <w:t xml:space="preserve"> module, users can also view the effects of emission reduction at different scales through the chart and configure the plotting according to their preferences.</w:t>
      </w:r>
    </w:p>
    <w:p>
      <w:pPr>
        <w:spacing w:line="360" w:lineRule="auto"/>
      </w:pPr>
    </w:p>
    <w:p>
      <w:pPr>
        <w:spacing w:line="360" w:lineRule="auto"/>
      </w:pPr>
      <w:r>
        <w:t>There are four types of charts in this module:</w:t>
      </w:r>
    </w:p>
    <w:p>
      <w:pPr>
        <w:pStyle w:val="50"/>
        <w:numPr>
          <w:ilvl w:val="0"/>
          <w:numId w:val="16"/>
        </w:numPr>
        <w:spacing w:before="120" w:after="120" w:line="360" w:lineRule="auto"/>
        <w:ind w:left="720" w:hanging="360" w:firstLineChars="0"/>
      </w:pPr>
      <w:r>
        <w:t>Emission Control 1</w:t>
      </w:r>
    </w:p>
    <w:p>
      <w:pPr>
        <w:pStyle w:val="50"/>
        <w:numPr>
          <w:ilvl w:val="0"/>
          <w:numId w:val="16"/>
        </w:numPr>
        <w:spacing w:before="120" w:after="120" w:line="360" w:lineRule="auto"/>
        <w:ind w:left="720" w:hanging="360" w:firstLineChars="0"/>
      </w:pPr>
      <w:r>
        <w:t>Emission Control 2</w:t>
      </w:r>
    </w:p>
    <w:p>
      <w:pPr>
        <w:pStyle w:val="50"/>
        <w:numPr>
          <w:ilvl w:val="0"/>
          <w:numId w:val="16"/>
        </w:numPr>
        <w:spacing w:before="120" w:after="120" w:line="360" w:lineRule="auto"/>
        <w:ind w:left="720" w:hanging="360" w:firstLineChars="0"/>
      </w:pPr>
      <w:r>
        <w:t xml:space="preserve">Source Contribution 1 </w:t>
      </w:r>
    </w:p>
    <w:p>
      <w:pPr>
        <w:pStyle w:val="50"/>
        <w:numPr>
          <w:ilvl w:val="0"/>
          <w:numId w:val="16"/>
        </w:numPr>
        <w:spacing w:before="120" w:after="120" w:line="360" w:lineRule="auto"/>
        <w:ind w:left="720" w:hanging="360" w:firstLineChars="0"/>
      </w:pPr>
      <w:r>
        <w:t>Source Contribution 2</w:t>
      </w:r>
    </w:p>
    <w:p>
      <w:pPr>
        <w:pStyle w:val="4"/>
      </w:pPr>
      <w:bookmarkStart w:id="178" w:name="_Toc122982078"/>
      <w:r>
        <w:t>Emission Control 1</w:t>
      </w:r>
      <w:bookmarkEnd w:id="178"/>
    </w:p>
    <w:p>
      <w:pPr>
        <w:spacing w:line="360" w:lineRule="auto"/>
      </w:pPr>
      <w:r>
        <w:t>Under</w:t>
      </w:r>
      <w:r>
        <w:rPr>
          <w:b/>
        </w:rPr>
        <w:t xml:space="preserve"> </w:t>
      </w:r>
      <w:r>
        <w:rPr>
          <w:bCs/>
        </w:rPr>
        <w:t>the</w:t>
      </w:r>
      <w:r>
        <w:rPr>
          <w:b/>
        </w:rPr>
        <w:t xml:space="preserve"> </w:t>
      </w:r>
      <w:r>
        <w:rPr>
          <w:rFonts w:eastAsiaTheme="minorEastAsia"/>
          <w:b/>
        </w:rPr>
        <w:t>Emission</w:t>
      </w:r>
      <w:r>
        <w:rPr>
          <w:rFonts w:eastAsiaTheme="minorEastAsia"/>
        </w:rPr>
        <w:t xml:space="preserve"> </w:t>
      </w:r>
      <w:r>
        <w:rPr>
          <w:b/>
        </w:rPr>
        <w:t>Control 1</w:t>
      </w:r>
      <w:r>
        <w:t xml:space="preserve"> module, users can view the effects of different emission control scenarios on selected receptor regions through bar charts.</w:t>
      </w:r>
    </w:p>
    <w:p>
      <w:pPr>
        <w:pStyle w:val="50"/>
        <w:spacing w:line="360" w:lineRule="auto"/>
        <w:ind w:firstLine="480"/>
      </w:pPr>
    </w:p>
    <w:p>
      <w:pPr>
        <w:spacing w:line="360" w:lineRule="auto"/>
        <w:jc w:val="center"/>
        <w:rPr>
          <w:rFonts w:cs="Times New Roman"/>
          <w:szCs w:val="24"/>
        </w:rPr>
      </w:pPr>
      <w:r>
        <w:rPr>
          <w:rFonts w:cs="Times New Roman"/>
          <w:szCs w:val="24"/>
        </w:rPr>
        <w:drawing>
          <wp:inline distT="0" distB="0" distL="0" distR="0">
            <wp:extent cx="4892040" cy="4656455"/>
            <wp:effectExtent l="0" t="0" r="3810"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4897525" cy="4661453"/>
                    </a:xfrm>
                    <a:prstGeom prst="rect">
                      <a:avLst/>
                    </a:prstGeom>
                    <a:noFill/>
                  </pic:spPr>
                </pic:pic>
              </a:graphicData>
            </a:graphic>
          </wp:inline>
        </w:drawing>
      </w:r>
    </w:p>
    <w:p>
      <w:pPr>
        <w:pStyle w:val="11"/>
        <w:spacing w:line="360" w:lineRule="auto"/>
        <w:ind w:firstLine="240"/>
        <w:rPr>
          <w:rFonts w:cs="Times New Roman"/>
          <w:szCs w:val="24"/>
        </w:rPr>
      </w:pPr>
      <w:bookmarkStart w:id="179" w:name="_Toc43734215"/>
      <w:bookmarkStart w:id="180" w:name="_Toc122982144"/>
      <w:r>
        <w:t xml:space="preserve">Figure </w:t>
      </w:r>
      <w:r>
        <w:fldChar w:fldCharType="begin"/>
      </w:r>
      <w:r>
        <w:instrText xml:space="preserve"> SEQ Fig. \* ARABIC </w:instrText>
      </w:r>
      <w:r>
        <w:fldChar w:fldCharType="separate"/>
      </w:r>
      <w:r>
        <w:t>49</w:t>
      </w:r>
      <w:r>
        <w:fldChar w:fldCharType="end"/>
      </w:r>
      <w:r>
        <w:t>. Emission Control 1</w:t>
      </w:r>
      <w:bookmarkEnd w:id="179"/>
      <w:bookmarkEnd w:id="180"/>
    </w:p>
    <w:p>
      <w:pPr>
        <w:pStyle w:val="4"/>
      </w:pPr>
      <w:bookmarkStart w:id="181" w:name="_Toc122982079"/>
      <w:r>
        <w:t>Emission Control 2</w:t>
      </w:r>
      <w:bookmarkEnd w:id="181"/>
    </w:p>
    <w:p>
      <w:pPr>
        <w:spacing w:line="360" w:lineRule="auto"/>
      </w:pPr>
      <w:r>
        <w:t>Under</w:t>
      </w:r>
      <w:r>
        <w:rPr>
          <w:b/>
        </w:rPr>
        <w:t xml:space="preserve"> </w:t>
      </w:r>
      <w:r>
        <w:rPr>
          <w:bCs/>
        </w:rPr>
        <w:t>the</w:t>
      </w:r>
      <w:r>
        <w:rPr>
          <w:b/>
        </w:rPr>
        <w:t xml:space="preserve"> </w:t>
      </w:r>
      <w:r>
        <w:rPr>
          <w:rFonts w:eastAsiaTheme="minorEastAsia"/>
          <w:b/>
        </w:rPr>
        <w:t>Emission</w:t>
      </w:r>
      <w:r>
        <w:rPr>
          <w:rFonts w:eastAsiaTheme="minorEastAsia"/>
        </w:rPr>
        <w:t xml:space="preserve"> </w:t>
      </w:r>
      <w:r>
        <w:rPr>
          <w:b/>
        </w:rPr>
        <w:t>Control 2</w:t>
      </w:r>
      <w:r>
        <w:t xml:space="preserve"> module, users can view the effects of emission control scenarios at different levels in one bar chart.</w:t>
      </w:r>
    </w:p>
    <w:p>
      <w:pPr>
        <w:spacing w:line="360" w:lineRule="auto"/>
      </w:pPr>
    </w:p>
    <w:p>
      <w:pPr>
        <w:spacing w:line="360" w:lineRule="auto"/>
        <w:jc w:val="center"/>
        <w:rPr>
          <w:rFonts w:cs="Times New Roman"/>
          <w:szCs w:val="24"/>
        </w:rPr>
      </w:pPr>
      <w:r>
        <w:rPr>
          <w:rFonts w:cs="Times New Roman"/>
          <w:szCs w:val="24"/>
        </w:rPr>
        <w:drawing>
          <wp:inline distT="0" distB="0" distL="0" distR="0">
            <wp:extent cx="5019040" cy="4801235"/>
            <wp:effectExtent l="0" t="0" r="0" b="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024086" cy="4806053"/>
                    </a:xfrm>
                    <a:prstGeom prst="rect">
                      <a:avLst/>
                    </a:prstGeom>
                    <a:noFill/>
                  </pic:spPr>
                </pic:pic>
              </a:graphicData>
            </a:graphic>
          </wp:inline>
        </w:drawing>
      </w:r>
    </w:p>
    <w:p>
      <w:pPr>
        <w:pStyle w:val="11"/>
        <w:spacing w:line="360" w:lineRule="auto"/>
        <w:ind w:firstLine="240"/>
        <w:rPr>
          <w:rFonts w:cs="Times New Roman"/>
          <w:szCs w:val="24"/>
        </w:rPr>
      </w:pPr>
      <w:bookmarkStart w:id="182" w:name="_Toc122982145"/>
      <w:bookmarkStart w:id="183" w:name="_Toc43734216"/>
      <w:r>
        <w:t xml:space="preserve">Figure </w:t>
      </w:r>
      <w:r>
        <w:fldChar w:fldCharType="begin"/>
      </w:r>
      <w:r>
        <w:instrText xml:space="preserve"> SEQ Fig. \* ARABIC </w:instrText>
      </w:r>
      <w:r>
        <w:fldChar w:fldCharType="separate"/>
      </w:r>
      <w:r>
        <w:t>50</w:t>
      </w:r>
      <w:r>
        <w:fldChar w:fldCharType="end"/>
      </w:r>
      <w:r>
        <w:t>. Emission Control 2</w:t>
      </w:r>
      <w:bookmarkEnd w:id="182"/>
      <w:bookmarkEnd w:id="183"/>
    </w:p>
    <w:p>
      <w:pPr>
        <w:pStyle w:val="4"/>
      </w:pPr>
      <w:bookmarkStart w:id="184" w:name="_Toc122982080"/>
      <w:r>
        <w:t>Source Contribution 1</w:t>
      </w:r>
      <w:bookmarkEnd w:id="184"/>
    </w:p>
    <w:p>
      <w:pPr>
        <w:spacing w:line="360" w:lineRule="auto"/>
      </w:pPr>
      <w:r>
        <w:t>The</w:t>
      </w:r>
      <w:r>
        <w:rPr>
          <w:b/>
        </w:rPr>
        <w:t xml:space="preserve"> Source Contribution 1 </w:t>
      </w:r>
      <w:r>
        <w:t>module displays a bar chart of the total source contribution to receptors caused by all user-selected control factors.</w:t>
      </w:r>
    </w:p>
    <w:p>
      <w:pPr>
        <w:spacing w:line="360" w:lineRule="auto"/>
        <w:jc w:val="center"/>
        <w:rPr>
          <w:rFonts w:cs="Times New Roman"/>
          <w:szCs w:val="24"/>
        </w:rPr>
      </w:pPr>
      <w:r>
        <w:rPr>
          <w:rFonts w:cs="Times New Roman"/>
          <w:szCs w:val="24"/>
        </w:rPr>
        <w:drawing>
          <wp:inline distT="0" distB="0" distL="0" distR="0">
            <wp:extent cx="5116195" cy="4893945"/>
            <wp:effectExtent l="0" t="0" r="8255" b="1905"/>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125904" cy="4903453"/>
                    </a:xfrm>
                    <a:prstGeom prst="rect">
                      <a:avLst/>
                    </a:prstGeom>
                    <a:noFill/>
                  </pic:spPr>
                </pic:pic>
              </a:graphicData>
            </a:graphic>
          </wp:inline>
        </w:drawing>
      </w:r>
    </w:p>
    <w:p>
      <w:pPr>
        <w:pStyle w:val="11"/>
        <w:spacing w:line="360" w:lineRule="auto"/>
        <w:ind w:firstLine="240"/>
        <w:rPr>
          <w:rFonts w:cs="Times New Roman"/>
          <w:szCs w:val="24"/>
        </w:rPr>
      </w:pPr>
      <w:bookmarkStart w:id="185" w:name="_Toc122982146"/>
      <w:bookmarkStart w:id="186" w:name="_Toc43734217"/>
      <w:r>
        <w:t xml:space="preserve">Figure </w:t>
      </w:r>
      <w:r>
        <w:fldChar w:fldCharType="begin"/>
      </w:r>
      <w:r>
        <w:instrText xml:space="preserve"> SEQ Fig. \* ARABIC </w:instrText>
      </w:r>
      <w:r>
        <w:fldChar w:fldCharType="separate"/>
      </w:r>
      <w:r>
        <w:t>51</w:t>
      </w:r>
      <w:r>
        <w:fldChar w:fldCharType="end"/>
      </w:r>
      <w:r>
        <w:t>. Source Contribution 1</w:t>
      </w:r>
      <w:bookmarkEnd w:id="185"/>
      <w:bookmarkEnd w:id="186"/>
    </w:p>
    <w:p>
      <w:pPr>
        <w:pStyle w:val="4"/>
      </w:pPr>
      <w:bookmarkStart w:id="187" w:name="_Toc122982081"/>
      <w:r>
        <w:t>Source Contribution 2</w:t>
      </w:r>
      <w:bookmarkEnd w:id="187"/>
    </w:p>
    <w:p>
      <w:pPr>
        <w:spacing w:line="360" w:lineRule="auto"/>
      </w:pPr>
      <w:r>
        <w:t>The</w:t>
      </w:r>
      <w:r>
        <w:rPr>
          <w:b/>
        </w:rPr>
        <w:t xml:space="preserve"> Source Contribution 2 </w:t>
      </w:r>
      <w:r>
        <w:t>module displays a stacked bar chart of the source contribution to receptors caused by each user-selected control factor.</w:t>
      </w:r>
    </w:p>
    <w:p>
      <w:pPr>
        <w:spacing w:line="360" w:lineRule="auto"/>
        <w:jc w:val="center"/>
        <w:rPr>
          <w:rFonts w:cs="Times New Roman"/>
          <w:szCs w:val="24"/>
        </w:rPr>
      </w:pPr>
      <w:r>
        <w:rPr>
          <w:rFonts w:cs="Times New Roman"/>
          <w:szCs w:val="24"/>
        </w:rPr>
        <w:drawing>
          <wp:inline distT="0" distB="0" distL="0" distR="0">
            <wp:extent cx="5186680" cy="4961890"/>
            <wp:effectExtent l="0" t="0" r="0"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197618" cy="4972055"/>
                    </a:xfrm>
                    <a:prstGeom prst="rect">
                      <a:avLst/>
                    </a:prstGeom>
                    <a:noFill/>
                  </pic:spPr>
                </pic:pic>
              </a:graphicData>
            </a:graphic>
          </wp:inline>
        </w:drawing>
      </w:r>
    </w:p>
    <w:p>
      <w:pPr>
        <w:pStyle w:val="11"/>
        <w:spacing w:line="360" w:lineRule="auto"/>
        <w:ind w:firstLine="240"/>
      </w:pPr>
      <w:bookmarkStart w:id="188" w:name="_Toc122982147"/>
      <w:r>
        <w:t xml:space="preserve">Figure </w:t>
      </w:r>
      <w:r>
        <w:fldChar w:fldCharType="begin"/>
      </w:r>
      <w:r>
        <w:instrText xml:space="preserve"> SEQ Fig. \* ARABIC </w:instrText>
      </w:r>
      <w:r>
        <w:fldChar w:fldCharType="separate"/>
      </w:r>
      <w:r>
        <w:t>52</w:t>
      </w:r>
      <w:r>
        <w:fldChar w:fldCharType="end"/>
      </w:r>
      <w:r>
        <w:t>. Source Contribution 2</w:t>
      </w:r>
      <w:bookmarkEnd w:id="188"/>
    </w:p>
    <w:p>
      <w:pPr>
        <w:pStyle w:val="4"/>
      </w:pPr>
      <w:bookmarkStart w:id="189" w:name="_Toc122982082"/>
      <w:r>
        <w:t>Customize receptor regions</w:t>
      </w:r>
      <w:bookmarkEnd w:id="189"/>
    </w:p>
    <w:p>
      <w:pPr>
        <w:spacing w:line="360" w:lineRule="auto"/>
        <w:rPr>
          <w:szCs w:val="24"/>
        </w:rPr>
      </w:pPr>
      <w:r>
        <w:t>FAST-CE allows the user to flexibly customize the receptor regions and show the corresponding response results of new receptor regions in real-time. For example,</w:t>
      </w:r>
      <w:r>
        <w:rPr>
          <w:szCs w:val="24"/>
        </w:rPr>
        <w:t xml:space="preserve"> </w:t>
      </w:r>
      <w:r>
        <w:t>users can</w:t>
      </w:r>
      <w:r>
        <w:rPr>
          <w:szCs w:val="24"/>
        </w:rPr>
        <w:t xml:space="preserve"> select </w:t>
      </w:r>
      <w:r>
        <w:t xml:space="preserve">desired states or CBSA regions by selecting the default file “US_states.csv” or “US_cbsa.csv” or checking the regions of interest on the </w:t>
      </w:r>
      <w:r>
        <w:rPr>
          <w:szCs w:val="24"/>
        </w:rPr>
        <w:t xml:space="preserve">right panel, and then click “Apply” to display the </w:t>
      </w:r>
      <w:r>
        <w:t>corresponding response results of new receptor regions (</w:t>
      </w:r>
      <w:r>
        <w:fldChar w:fldCharType="begin"/>
      </w:r>
      <w:r>
        <w:instrText xml:space="preserve"> REF _Ref44424442 \h  \* MERGEFORMAT </w:instrText>
      </w:r>
      <w:r>
        <w:fldChar w:fldCharType="separate"/>
      </w:r>
      <w:r>
        <w:t>Figure 53</w:t>
      </w:r>
      <w:r>
        <w:fldChar w:fldCharType="end"/>
      </w:r>
      <w:r>
        <w:t>). Users can also add new receptor regions by importing receptor region files in the specified format according to their needs (</w:t>
      </w:r>
      <w:r>
        <w:fldChar w:fldCharType="begin"/>
      </w:r>
      <w:r>
        <w:instrText xml:space="preserve"> REF _Ref44424473 \h  \* MERGEFORMAT </w:instrText>
      </w:r>
      <w:r>
        <w:fldChar w:fldCharType="separate"/>
      </w:r>
      <w:r>
        <w:t>Figure 54</w:t>
      </w:r>
      <w:r>
        <w:fldChar w:fldCharType="end"/>
      </w:r>
      <w:r>
        <w:t>). Besides, users can extract the desired regions for further study.</w:t>
      </w:r>
    </w:p>
    <w:p>
      <w:pPr>
        <w:spacing w:line="360" w:lineRule="auto"/>
        <w:jc w:val="center"/>
      </w:pPr>
      <w:r>
        <w:drawing>
          <wp:inline distT="0" distB="0" distL="0" distR="0">
            <wp:extent cx="5284470" cy="2338070"/>
            <wp:effectExtent l="0" t="0" r="0" b="508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5284800" cy="2338135"/>
                    </a:xfrm>
                    <a:prstGeom prst="rect">
                      <a:avLst/>
                    </a:prstGeom>
                    <a:noFill/>
                  </pic:spPr>
                </pic:pic>
              </a:graphicData>
            </a:graphic>
          </wp:inline>
        </w:drawing>
      </w:r>
    </w:p>
    <w:p>
      <w:pPr>
        <w:pStyle w:val="11"/>
        <w:spacing w:line="360" w:lineRule="auto"/>
        <w:ind w:firstLine="240"/>
      </w:pPr>
      <w:bookmarkStart w:id="190" w:name="_Ref44424442"/>
      <w:bookmarkStart w:id="191" w:name="_Toc122982148"/>
      <w:r>
        <w:t xml:space="preserve">Figure </w:t>
      </w:r>
      <w:r>
        <w:fldChar w:fldCharType="begin"/>
      </w:r>
      <w:r>
        <w:instrText xml:space="preserve"> SEQ Fig. \* ARABIC </w:instrText>
      </w:r>
      <w:r>
        <w:fldChar w:fldCharType="separate"/>
      </w:r>
      <w:r>
        <w:t>53</w:t>
      </w:r>
      <w:r>
        <w:fldChar w:fldCharType="end"/>
      </w:r>
      <w:bookmarkEnd w:id="190"/>
      <w:r>
        <w:t>. Select receptor regions of interest</w:t>
      </w:r>
      <w:bookmarkEnd w:id="191"/>
    </w:p>
    <w:p>
      <w:pPr>
        <w:spacing w:line="360" w:lineRule="auto"/>
        <w:jc w:val="center"/>
      </w:pPr>
      <w:r>
        <w:drawing>
          <wp:inline distT="0" distB="0" distL="0" distR="0">
            <wp:extent cx="5360035" cy="2756535"/>
            <wp:effectExtent l="0" t="0" r="0" b="571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5360400" cy="2756898"/>
                    </a:xfrm>
                    <a:prstGeom prst="rect">
                      <a:avLst/>
                    </a:prstGeom>
                    <a:noFill/>
                  </pic:spPr>
                </pic:pic>
              </a:graphicData>
            </a:graphic>
          </wp:inline>
        </w:drawing>
      </w:r>
    </w:p>
    <w:p>
      <w:pPr>
        <w:pStyle w:val="11"/>
        <w:spacing w:line="360" w:lineRule="auto"/>
        <w:ind w:firstLine="240"/>
      </w:pPr>
      <w:bookmarkStart w:id="192" w:name="_Ref44424473"/>
      <w:bookmarkStart w:id="193" w:name="_Toc122982149"/>
      <w:r>
        <w:t xml:space="preserve">Figure </w:t>
      </w:r>
      <w:r>
        <w:fldChar w:fldCharType="begin"/>
      </w:r>
      <w:r>
        <w:instrText xml:space="preserve"> SEQ Fig. \* ARABIC </w:instrText>
      </w:r>
      <w:r>
        <w:fldChar w:fldCharType="separate"/>
      </w:r>
      <w:r>
        <w:t>54</w:t>
      </w:r>
      <w:r>
        <w:fldChar w:fldCharType="end"/>
      </w:r>
      <w:bookmarkEnd w:id="192"/>
      <w:r>
        <w:t>. Add new receptor regions</w:t>
      </w:r>
      <w:bookmarkEnd w:id="193"/>
    </w:p>
    <w:p>
      <w:pPr>
        <w:pStyle w:val="3"/>
      </w:pPr>
      <w:bookmarkStart w:id="194" w:name="_Toc122982083"/>
      <w:r>
        <w:t>QA/Validation</w:t>
      </w:r>
      <w:bookmarkEnd w:id="194"/>
    </w:p>
    <w:p>
      <w:pPr>
        <w:spacing w:line="360" w:lineRule="auto"/>
      </w:pPr>
      <w:r>
        <w:t xml:space="preserve">The </w:t>
      </w:r>
      <w:r>
        <w:rPr>
          <w:b/>
        </w:rPr>
        <w:t>QA/Validation</w:t>
      </w:r>
      <w:r>
        <w:t xml:space="preserve"> module evaluates the performance of FAST-CE. Users can specific the receptors or grids to be included in the analysis for generating the scatter plots to compare the user-generated FAST-CE results with EPA validation data, as shown in </w:t>
      </w:r>
      <w:r>
        <w:fldChar w:fldCharType="begin"/>
      </w:r>
      <w:r>
        <w:instrText xml:space="preserve"> REF _Ref43652319 \h  \* MERGEFORMAT </w:instrText>
      </w:r>
      <w:r>
        <w:fldChar w:fldCharType="separate"/>
      </w:r>
      <w:r>
        <w:t>Figure 55</w:t>
      </w:r>
      <w:r>
        <w:fldChar w:fldCharType="end"/>
      </w:r>
      <w:r>
        <w:t xml:space="preserve">. This module not only supports to display the comparison results about concentration between FAST-CE predicted and EPA but their corresponding response comparison results. The default scatter plots displayed are </w:t>
      </w:r>
      <w:r>
        <w:rPr>
          <w:szCs w:val="24"/>
        </w:rPr>
        <w:t xml:space="preserve">normal scatter plots, but users can switch to the color density scatter plots by checking “Color Density Plot”. Besides, </w:t>
      </w:r>
      <w:r>
        <w:t>users can also compare the results of multiple control scenarios simultaneously by checking the “Multiple Plots”.</w:t>
      </w:r>
    </w:p>
    <w:p>
      <w:pPr>
        <w:spacing w:line="360" w:lineRule="auto"/>
        <w:ind w:firstLine="240"/>
      </w:pPr>
    </w:p>
    <w:p>
      <w:pPr>
        <w:spacing w:line="360" w:lineRule="auto"/>
        <w:jc w:val="center"/>
      </w:pPr>
      <w:r>
        <w:drawing>
          <wp:inline distT="0" distB="0" distL="0" distR="0">
            <wp:extent cx="5326380" cy="2479675"/>
            <wp:effectExtent l="0" t="0" r="762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358731" cy="2494888"/>
                    </a:xfrm>
                    <a:prstGeom prst="rect">
                      <a:avLst/>
                    </a:prstGeom>
                    <a:noFill/>
                  </pic:spPr>
                </pic:pic>
              </a:graphicData>
            </a:graphic>
          </wp:inline>
        </w:drawing>
      </w:r>
    </w:p>
    <w:p>
      <w:pPr>
        <w:pStyle w:val="11"/>
        <w:spacing w:line="360" w:lineRule="auto"/>
        <w:ind w:firstLine="240"/>
        <w:rPr>
          <w:rFonts w:cs="Times New Roman"/>
          <w:szCs w:val="24"/>
        </w:rPr>
      </w:pPr>
      <w:bookmarkStart w:id="195" w:name="_Ref43652319"/>
      <w:bookmarkStart w:id="196" w:name="_Toc43734219"/>
      <w:bookmarkStart w:id="197" w:name="_Toc122982150"/>
      <w:r>
        <w:t xml:space="preserve">Figure </w:t>
      </w:r>
      <w:r>
        <w:fldChar w:fldCharType="begin"/>
      </w:r>
      <w:r>
        <w:instrText xml:space="preserve"> SEQ Fig. \* ARABIC </w:instrText>
      </w:r>
      <w:r>
        <w:fldChar w:fldCharType="separate"/>
      </w:r>
      <w:r>
        <w:t>55</w:t>
      </w:r>
      <w:r>
        <w:fldChar w:fldCharType="end"/>
      </w:r>
      <w:bookmarkEnd w:id="195"/>
      <w:r>
        <w:t>. QA/Validate module</w:t>
      </w:r>
      <w:bookmarkEnd w:id="196"/>
      <w:bookmarkEnd w:id="197"/>
    </w:p>
    <w:p>
      <w:pPr>
        <w:pStyle w:val="3"/>
      </w:pPr>
      <w:bookmarkStart w:id="198" w:name="_Toc122982084"/>
      <w:r>
        <w:t>Data</w:t>
      </w:r>
      <w:bookmarkEnd w:id="198"/>
    </w:p>
    <w:p>
      <w:pPr>
        <w:spacing w:line="360" w:lineRule="auto"/>
      </w:pPr>
      <w:r>
        <w:t xml:space="preserve">The </w:t>
      </w:r>
      <w:r>
        <w:rPr>
          <w:b/>
        </w:rPr>
        <w:t>Data</w:t>
      </w:r>
      <w:r>
        <w:t xml:space="preserve"> module provides </w:t>
      </w:r>
      <w:r>
        <w:rPr>
          <w:rFonts w:hint="eastAsia"/>
        </w:rPr>
        <w:t>more</w:t>
      </w:r>
      <w:r>
        <w:t xml:space="preserve"> detailed information about </w:t>
      </w:r>
      <w:r>
        <w:rPr>
          <w:rFonts w:hint="eastAsia"/>
        </w:rPr>
        <w:t>the</w:t>
      </w:r>
      <w:r>
        <w:t xml:space="preserve"> concentration of the target pollutant at each grid. Users can export the data for further study, as shown in </w:t>
      </w:r>
      <w:r>
        <w:fldChar w:fldCharType="begin"/>
      </w:r>
      <w:r>
        <w:instrText xml:space="preserve"> REF _Ref43494137 \h  \* MERGEFORMAT </w:instrText>
      </w:r>
      <w:r>
        <w:fldChar w:fldCharType="separate"/>
      </w:r>
      <w:r>
        <w:t>Figure 56</w:t>
      </w:r>
      <w:r>
        <w:fldChar w:fldCharType="end"/>
      </w:r>
      <w:r>
        <w:t>.</w:t>
      </w:r>
    </w:p>
    <w:p>
      <w:pPr>
        <w:spacing w:line="360" w:lineRule="auto"/>
      </w:pPr>
    </w:p>
    <w:p>
      <w:pPr>
        <w:pStyle w:val="11"/>
        <w:spacing w:line="360" w:lineRule="auto"/>
        <w:ind w:firstLine="240"/>
        <w:rPr>
          <w:rFonts w:cs="Times New Roman"/>
          <w:szCs w:val="24"/>
        </w:rPr>
      </w:pPr>
      <w:r>
        <w:rPr>
          <w:rFonts w:cs="Times New Roman"/>
          <w:szCs w:val="24"/>
        </w:rPr>
        <w:drawing>
          <wp:inline distT="0" distB="0" distL="0" distR="0">
            <wp:extent cx="4495800" cy="433133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4502573" cy="4337878"/>
                    </a:xfrm>
                    <a:prstGeom prst="rect">
                      <a:avLst/>
                    </a:prstGeom>
                    <a:noFill/>
                  </pic:spPr>
                </pic:pic>
              </a:graphicData>
            </a:graphic>
          </wp:inline>
        </w:drawing>
      </w:r>
    </w:p>
    <w:p>
      <w:pPr>
        <w:pStyle w:val="11"/>
        <w:spacing w:line="360" w:lineRule="auto"/>
        <w:ind w:firstLine="240"/>
        <w:rPr>
          <w:rFonts w:cs="Times New Roman"/>
          <w:kern w:val="0"/>
        </w:rPr>
      </w:pPr>
      <w:bookmarkStart w:id="199" w:name="_Ref43494137"/>
      <w:bookmarkStart w:id="200" w:name="_Toc43734221"/>
      <w:bookmarkStart w:id="201" w:name="_Toc122982151"/>
      <w:r>
        <w:t xml:space="preserve">Figure </w:t>
      </w:r>
      <w:r>
        <w:fldChar w:fldCharType="begin"/>
      </w:r>
      <w:r>
        <w:instrText xml:space="preserve"> SEQ Fig. \* ARABIC </w:instrText>
      </w:r>
      <w:r>
        <w:fldChar w:fldCharType="separate"/>
      </w:r>
      <w:r>
        <w:t>56</w:t>
      </w:r>
      <w:r>
        <w:fldChar w:fldCharType="end"/>
      </w:r>
      <w:bookmarkEnd w:id="199"/>
      <w:r>
        <w:t xml:space="preserve">. Detailed </w:t>
      </w:r>
      <w:r>
        <w:rPr>
          <w:rFonts w:cs="Times New Roman"/>
          <w:kern w:val="0"/>
        </w:rPr>
        <w:t>data results and configuration</w:t>
      </w:r>
      <w:bookmarkEnd w:id="200"/>
      <w:bookmarkEnd w:id="201"/>
    </w:p>
    <w:p>
      <w:pPr>
        <w:pStyle w:val="3"/>
      </w:pPr>
      <w:bookmarkStart w:id="202" w:name="_Toc122982085"/>
      <w:r>
        <w:t>GCAM Scenario Builder</w:t>
      </w:r>
      <w:bookmarkEnd w:id="202"/>
    </w:p>
    <w:p>
      <w:pPr>
        <w:spacing w:line="360" w:lineRule="auto"/>
      </w:pPr>
      <w:r>
        <w:rPr>
          <w:lang w:val="zh-CN"/>
        </w:rPr>
        <w:t>The GCAM Scenario Builder module allows users to run GCAM in FAST-CE and output emissions files. This function is available only when the GCAM data package was installed. Users can set up GCAM configuration in “GCAM Scenario Builder” plot and click “Save</w:t>
      </w:r>
      <w:r>
        <w:t xml:space="preserve"> </w:t>
      </w:r>
      <w:r>
        <w:rPr>
          <w:lang w:val="zh-CN"/>
        </w:rPr>
        <w:t>&amp;</w:t>
      </w:r>
      <w:r>
        <w:t xml:space="preserve"> </w:t>
      </w:r>
      <w:r>
        <w:rPr>
          <w:lang w:val="zh-CN"/>
        </w:rPr>
        <w:t>Run” to run GCAM model. After running the GCAM model, the output emissions plot will be presented to the user.</w:t>
      </w:r>
    </w:p>
    <w:p>
      <w:pPr>
        <w:spacing w:line="360" w:lineRule="auto"/>
        <w:jc w:val="center"/>
      </w:pPr>
      <w:r>
        <w:rPr>
          <w:rFonts w:cs="Times New Roman"/>
        </w:rPr>
        <w:drawing>
          <wp:inline distT="0" distB="0" distL="0" distR="0">
            <wp:extent cx="5274310" cy="3137535"/>
            <wp:effectExtent l="0" t="0" r="2540" b="571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274310" cy="3137924"/>
                    </a:xfrm>
                    <a:prstGeom prst="rect">
                      <a:avLst/>
                    </a:prstGeom>
                    <a:noFill/>
                  </pic:spPr>
                </pic:pic>
              </a:graphicData>
            </a:graphic>
          </wp:inline>
        </w:drawing>
      </w:r>
    </w:p>
    <w:p>
      <w:pPr>
        <w:pStyle w:val="11"/>
        <w:spacing w:line="360" w:lineRule="auto"/>
        <w:ind w:firstLine="240"/>
        <w:rPr>
          <w:rFonts w:cs="Times New Roman"/>
          <w:kern w:val="0"/>
        </w:rPr>
      </w:pPr>
      <w:bookmarkStart w:id="203" w:name="_Toc122982152"/>
      <w:r>
        <w:t xml:space="preserve">Figure </w:t>
      </w:r>
      <w:r>
        <w:fldChar w:fldCharType="begin"/>
      </w:r>
      <w:r>
        <w:instrText xml:space="preserve"> SEQ Fig. \* ARABIC </w:instrText>
      </w:r>
      <w:r>
        <w:fldChar w:fldCharType="separate"/>
      </w:r>
      <w:r>
        <w:t>57</w:t>
      </w:r>
      <w:r>
        <w:fldChar w:fldCharType="end"/>
      </w:r>
      <w:r>
        <w:t xml:space="preserve">. </w:t>
      </w:r>
      <w:r>
        <w:rPr>
          <w:lang w:val="zh-CN"/>
        </w:rPr>
        <w:t>Steps for GCAM Scenario Builder</w:t>
      </w:r>
      <w:bookmarkEnd w:id="203"/>
    </w:p>
    <w:p>
      <w:pPr>
        <w:spacing w:line="360" w:lineRule="auto"/>
        <w:rPr>
          <w:lang w:val="zh-CN"/>
        </w:rPr>
      </w:pPr>
      <w:r>
        <w:rPr>
          <w:lang w:val="zh-CN"/>
        </w:rPr>
        <w:t>The output emissions from GCAM model as shown in Figure58. Users can switch the “Emissions from GCAM” table sheet by clicking the sheet name (“Output by Region” or “Output by Sector”) on the bottom of the worksheet. Also, user can click the "output" button to save the output to local path.</w:t>
      </w:r>
    </w:p>
    <w:p>
      <w:pPr>
        <w:spacing w:line="360" w:lineRule="auto"/>
        <w:rPr>
          <w:lang w:val="zh-CN"/>
        </w:rPr>
      </w:pPr>
      <w:r>
        <w:drawing>
          <wp:inline distT="0" distB="0" distL="0" distR="0">
            <wp:extent cx="5274310" cy="3486150"/>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74"/>
                    <a:stretch>
                      <a:fillRect/>
                    </a:stretch>
                  </pic:blipFill>
                  <pic:spPr>
                    <a:xfrm>
                      <a:off x="0" y="0"/>
                      <a:ext cx="5274310" cy="3486150"/>
                    </a:xfrm>
                    <a:prstGeom prst="rect">
                      <a:avLst/>
                    </a:prstGeom>
                  </pic:spPr>
                </pic:pic>
              </a:graphicData>
            </a:graphic>
          </wp:inline>
        </w:drawing>
      </w:r>
    </w:p>
    <w:p>
      <w:pPr>
        <w:pStyle w:val="11"/>
        <w:spacing w:line="360" w:lineRule="auto"/>
        <w:ind w:firstLine="240"/>
        <w:rPr>
          <w:rFonts w:cs="Times New Roman"/>
          <w:kern w:val="0"/>
        </w:rPr>
      </w:pPr>
      <w:bookmarkStart w:id="204" w:name="_Toc122982153"/>
      <w:r>
        <w:t xml:space="preserve">Figure </w:t>
      </w:r>
      <w:r>
        <w:fldChar w:fldCharType="begin"/>
      </w:r>
      <w:r>
        <w:instrText xml:space="preserve"> SEQ Fig. \* ARABIC </w:instrText>
      </w:r>
      <w:r>
        <w:fldChar w:fldCharType="separate"/>
      </w:r>
      <w:r>
        <w:t>58</w:t>
      </w:r>
      <w:r>
        <w:fldChar w:fldCharType="end"/>
      </w:r>
      <w:r>
        <w:t xml:space="preserve">. </w:t>
      </w:r>
      <w:r>
        <w:rPr>
          <w:lang w:val="zh-CN"/>
        </w:rPr>
        <w:t>Emissions output from GCAM</w:t>
      </w:r>
      <w:bookmarkEnd w:id="204"/>
    </w:p>
    <w:p>
      <w:pPr>
        <w:spacing w:line="360" w:lineRule="auto"/>
      </w:pPr>
    </w:p>
    <w:p>
      <w:pPr>
        <w:pStyle w:val="2"/>
        <w:spacing w:line="360" w:lineRule="auto"/>
      </w:pPr>
      <w:bookmarkStart w:id="205" w:name="_Toc122982086"/>
      <w:r>
        <w:t>Case Study</w:t>
      </w:r>
      <w:bookmarkEnd w:id="205"/>
    </w:p>
    <w:p>
      <w:pPr>
        <w:spacing w:line="360" w:lineRule="auto"/>
      </w:pPr>
      <w:r>
        <w:t>T</w:t>
      </w:r>
      <w:r>
        <w:rPr>
          <w:rFonts w:hint="eastAsia"/>
        </w:rPr>
        <w:t xml:space="preserve">o </w:t>
      </w:r>
      <w:r>
        <w:t>illustrate</w:t>
      </w:r>
      <w:r>
        <w:rPr>
          <w:rFonts w:hint="eastAsia"/>
        </w:rPr>
        <w:t xml:space="preserve"> how to </w:t>
      </w:r>
      <w:r>
        <w:t>run the</w:t>
      </w:r>
      <w:r>
        <w:rPr>
          <w:rFonts w:hint="eastAsia"/>
        </w:rPr>
        <w:t xml:space="preserve"> </w:t>
      </w:r>
      <w:r>
        <w:t>FAST-CE</w:t>
      </w:r>
      <w:r>
        <w:rPr>
          <w:rFonts w:hint="eastAsia"/>
        </w:rPr>
        <w:t>,</w:t>
      </w:r>
      <w:r>
        <w:t xml:space="preserve"> an example case study of the OSAT method in the U.S. is given as follows.</w:t>
      </w:r>
    </w:p>
    <w:p>
      <w:pPr>
        <w:pStyle w:val="3"/>
      </w:pPr>
      <w:bookmarkStart w:id="206" w:name="_Toc122982087"/>
      <w:r>
        <w:rPr>
          <w:rStyle w:val="33"/>
          <w:rFonts w:hint="eastAsia"/>
          <w:b/>
          <w:bCs/>
        </w:rPr>
        <w:t>Ozone</w:t>
      </w:r>
      <w:r>
        <w:rPr>
          <w:rStyle w:val="33"/>
          <w:b/>
          <w:bCs/>
        </w:rPr>
        <w:t xml:space="preserve"> MDA8 Analysis – OSAT</w:t>
      </w:r>
      <w:r>
        <w:t>.</w:t>
      </w:r>
      <w:bookmarkEnd w:id="206"/>
    </w:p>
    <w:p>
      <w:pPr>
        <w:pStyle w:val="4"/>
      </w:pPr>
      <w:bookmarkStart w:id="207" w:name="_Toc122982088"/>
      <w:r>
        <w:t>Create a new project</w:t>
      </w:r>
      <w:bookmarkEnd w:id="207"/>
    </w:p>
    <w:p>
      <w:pPr>
        <w:pStyle w:val="65"/>
        <w:spacing w:line="360" w:lineRule="auto"/>
      </w:pPr>
      <w:r>
        <w:t xml:space="preserve">Click the </w:t>
      </w:r>
      <w:r>
        <w:rPr>
          <w:b/>
        </w:rPr>
        <w:t>File</w:t>
      </w:r>
      <w:r>
        <w:t xml:space="preserve"> button and choose the </w:t>
      </w:r>
      <w:r>
        <w:rPr>
          <w:b/>
        </w:rPr>
        <w:t>New Project</w:t>
      </w:r>
      <w:r>
        <w:t xml:space="preserve"> option to create a new project.</w:t>
      </w:r>
    </w:p>
    <w:p>
      <w:pPr>
        <w:pStyle w:val="65"/>
        <w:spacing w:line="360" w:lineRule="auto"/>
      </w:pPr>
      <w:r>
        <w:t xml:space="preserve">Click the </w:t>
      </w:r>
      <w:r>
        <w:rPr>
          <w:b/>
        </w:rPr>
        <w:t>Analysis</w:t>
      </w:r>
      <w:r>
        <w:t xml:space="preserve"> button and choose</w:t>
      </w:r>
      <w:r>
        <w:rPr>
          <w:b/>
        </w:rPr>
        <w:t xml:space="preserve"> the Ozone </w:t>
      </w:r>
      <w:r>
        <w:t>option to create a new O</w:t>
      </w:r>
      <w:r>
        <w:rPr>
          <w:vertAlign w:val="subscript"/>
        </w:rPr>
        <w:t>3</w:t>
      </w:r>
      <w:r>
        <w:t xml:space="preserve"> project.</w:t>
      </w:r>
    </w:p>
    <w:p>
      <w:pPr>
        <w:spacing w:line="360" w:lineRule="auto"/>
        <w:jc w:val="center"/>
        <w:rPr>
          <w:rFonts w:cs="Times New Roman"/>
          <w:b/>
          <w:szCs w:val="24"/>
        </w:rPr>
      </w:pPr>
      <w:r>
        <w:drawing>
          <wp:inline distT="0" distB="0" distL="0" distR="0">
            <wp:extent cx="5274310" cy="3818890"/>
            <wp:effectExtent l="0" t="0" r="2540" b="0"/>
            <wp:docPr id="35" name="P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 61"/>
                    <pic:cNvPicPr>
                      <a:picLocks noChangeAspect="1"/>
                    </pic:cNvPicPr>
                  </pic:nvPicPr>
                  <pic:blipFill>
                    <a:blip r:embed="rId75" cstate="print"/>
                    <a:stretch>
                      <a:fillRect/>
                    </a:stretch>
                  </pic:blipFill>
                  <pic:spPr>
                    <a:xfrm>
                      <a:off x="0" y="0"/>
                      <a:ext cx="5274310" cy="3819038"/>
                    </a:xfrm>
                    <a:prstGeom prst="rect">
                      <a:avLst/>
                    </a:prstGeom>
                  </pic:spPr>
                </pic:pic>
              </a:graphicData>
            </a:graphic>
          </wp:inline>
        </w:drawing>
      </w:r>
    </w:p>
    <w:p>
      <w:pPr>
        <w:pStyle w:val="11"/>
        <w:spacing w:line="360" w:lineRule="auto"/>
        <w:ind w:firstLine="240"/>
        <w:rPr>
          <w:rFonts w:cs="Times New Roman"/>
          <w:b/>
          <w:szCs w:val="24"/>
        </w:rPr>
      </w:pPr>
      <w:bookmarkStart w:id="208" w:name="_Toc122982154"/>
      <w:bookmarkStart w:id="209" w:name="_Toc43734222"/>
      <w:r>
        <w:t xml:space="preserve">Figure </w:t>
      </w:r>
      <w:r>
        <w:fldChar w:fldCharType="begin"/>
      </w:r>
      <w:r>
        <w:instrText xml:space="preserve"> SEQ Fig. \* ARABIC </w:instrText>
      </w:r>
      <w:r>
        <w:fldChar w:fldCharType="separate"/>
      </w:r>
      <w:r>
        <w:t>59</w:t>
      </w:r>
      <w:r>
        <w:fldChar w:fldCharType="end"/>
      </w:r>
      <w:r>
        <w:t>. Create a new O</w:t>
      </w:r>
      <w:r>
        <w:rPr>
          <w:sz w:val="15"/>
        </w:rPr>
        <w:t xml:space="preserve">3 </w:t>
      </w:r>
      <w:r>
        <w:t>project</w:t>
      </w:r>
      <w:bookmarkEnd w:id="208"/>
      <w:bookmarkEnd w:id="209"/>
    </w:p>
    <w:p>
      <w:pPr>
        <w:pStyle w:val="4"/>
      </w:pPr>
      <w:bookmarkStart w:id="210" w:name="_Toc122982089"/>
      <w:r>
        <w:t>Set up input parameters</w:t>
      </w:r>
      <w:bookmarkEnd w:id="210"/>
    </w:p>
    <w:p>
      <w:pPr>
        <w:pStyle w:val="65"/>
        <w:spacing w:line="360" w:lineRule="auto"/>
      </w:pPr>
      <w:r>
        <w:t>Double-click the Source Contribution Method Option, then select the OSAT/PSAT/APCA/ISAM method.</w:t>
      </w:r>
    </w:p>
    <w:p>
      <w:pPr>
        <w:spacing w:line="360" w:lineRule="auto"/>
        <w:jc w:val="center"/>
        <w:rPr>
          <w:rFonts w:cs="Times New Roman"/>
          <w:b/>
          <w:szCs w:val="24"/>
        </w:rPr>
      </w:pPr>
      <w:r>
        <w:drawing>
          <wp:inline distT="0" distB="0" distL="0" distR="0">
            <wp:extent cx="5274310" cy="3818890"/>
            <wp:effectExtent l="0" t="0" r="2540" b="0"/>
            <wp:docPr id="64" name="P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 62"/>
                    <pic:cNvPicPr>
                      <a:picLocks noChangeAspect="1"/>
                    </pic:cNvPicPr>
                  </pic:nvPicPr>
                  <pic:blipFill>
                    <a:blip r:embed="rId76" cstate="print"/>
                    <a:stretch>
                      <a:fillRect/>
                    </a:stretch>
                  </pic:blipFill>
                  <pic:spPr>
                    <a:xfrm>
                      <a:off x="0" y="0"/>
                      <a:ext cx="5274310" cy="3819038"/>
                    </a:xfrm>
                    <a:prstGeom prst="rect">
                      <a:avLst/>
                    </a:prstGeom>
                  </pic:spPr>
                </pic:pic>
              </a:graphicData>
            </a:graphic>
          </wp:inline>
        </w:drawing>
      </w:r>
    </w:p>
    <w:p>
      <w:pPr>
        <w:pStyle w:val="11"/>
        <w:spacing w:line="360" w:lineRule="auto"/>
        <w:ind w:firstLine="240"/>
        <w:rPr>
          <w:rFonts w:cs="Times New Roman"/>
          <w:b/>
          <w:szCs w:val="24"/>
        </w:rPr>
      </w:pPr>
      <w:bookmarkStart w:id="211" w:name="_Toc43734223"/>
      <w:bookmarkStart w:id="212" w:name="_Toc122982155"/>
      <w:r>
        <w:t xml:space="preserve">Figure </w:t>
      </w:r>
      <w:r>
        <w:fldChar w:fldCharType="begin"/>
      </w:r>
      <w:r>
        <w:instrText xml:space="preserve"> SEQ Fig. \* ARABIC </w:instrText>
      </w:r>
      <w:r>
        <w:fldChar w:fldCharType="separate"/>
      </w:r>
      <w:r>
        <w:t>60</w:t>
      </w:r>
      <w:r>
        <w:fldChar w:fldCharType="end"/>
      </w:r>
      <w:r>
        <w:t>. Source Contribution Method Option for O</w:t>
      </w:r>
      <w:r>
        <w:rPr>
          <w:vertAlign w:val="subscript"/>
        </w:rPr>
        <w:t>3</w:t>
      </w:r>
      <w:r>
        <w:rPr>
          <w:rFonts w:hint="eastAsia"/>
        </w:rPr>
        <w:t>-</w:t>
      </w:r>
      <w:r>
        <w:t>MDA8</w:t>
      </w:r>
      <w:bookmarkEnd w:id="211"/>
      <w:r>
        <w:t xml:space="preserve"> analysis</w:t>
      </w:r>
      <w:bookmarkEnd w:id="212"/>
    </w:p>
    <w:p>
      <w:pPr>
        <w:pStyle w:val="65"/>
        <w:spacing w:line="360" w:lineRule="auto"/>
      </w:pPr>
      <w:r>
        <w:t xml:space="preserve">Set the </w:t>
      </w:r>
      <w:r>
        <w:rPr>
          <w:b/>
        </w:rPr>
        <w:t xml:space="preserve">Data Input Type </w:t>
      </w:r>
      <w:r>
        <w:t>to</w:t>
      </w:r>
      <w:r>
        <w:rPr>
          <w:b/>
        </w:rPr>
        <w:t xml:space="preserve"> </w:t>
      </w:r>
      <w:r>
        <w:t>Seasonal avg for O</w:t>
      </w:r>
      <w:r>
        <w:rPr>
          <w:vertAlign w:val="subscript"/>
        </w:rPr>
        <w:t>3</w:t>
      </w:r>
      <w:r>
        <w:t>-MDA8 (May-Sept), which can be explained by the nonattainment of the National Ambient Air</w:t>
      </w:r>
      <w:r>
        <w:rPr>
          <w:rFonts w:hint="eastAsia"/>
        </w:rPr>
        <w:t xml:space="preserve"> </w:t>
      </w:r>
      <w:r>
        <w:t xml:space="preserve">Quality Standards (NAAQS) over many areas in the U.S caused by the high summertime ozone concentrations </w:t>
      </w:r>
      <w:r>
        <w:fldChar w:fldCharType="begin">
          <w:fldData xml:space="preserve">PEVuZE5vdGU+PENpdGU+PEF1dGhvcj5IYWthbWk8L0F1dGhvcj48WWVhcj4yMDA2PC9ZZWFyPjxS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</w:fldData>
        </w:fldChar>
      </w:r>
      <w:r>
        <w:instrText xml:space="preserve"> ADDIN EN.CITE </w:instrText>
      </w:r>
      <w:r>
        <w:fldChar w:fldCharType="begin">
          <w:fldData xml:space="preserve">PEVuZE5vdGU+PENpdGU+PEF1dGhvcj5IYWthbWk8L0F1dGhvcj48WWVhcj4yMDA2PC9ZZWFyPjxS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</w:fldData>
        </w:fldChar>
      </w:r>
      <w:r>
        <w:instrText xml:space="preserve"> ADDIN EN.CITE.DATA </w:instrText>
      </w:r>
      <w:r>
        <w:fldChar w:fldCharType="end"/>
      </w:r>
      <w:r>
        <w:fldChar w:fldCharType="separate"/>
      </w:r>
      <w:r>
        <w:t>(</w:t>
      </w:r>
      <w:r>
        <w:fldChar w:fldCharType="begin"/>
      </w:r>
      <w:r>
        <w:instrText xml:space="preserve"> HYPERLINK \l "_ENREF_3" \o "Hakami, 2006 #358" </w:instrText>
      </w:r>
      <w:r>
        <w:fldChar w:fldCharType="separate"/>
      </w:r>
      <w:r>
        <w:t>Hakami, Seinfeld et al. 2006</w:t>
      </w:r>
      <w:r>
        <w:fldChar w:fldCharType="end"/>
      </w:r>
      <w:r>
        <w:t xml:space="preserve">, </w:t>
      </w:r>
      <w:r>
        <w:fldChar w:fldCharType="begin"/>
      </w:r>
      <w:r>
        <w:instrText xml:space="preserve"> HYPERLINK \l "_ENREF_5" \o "Liao, 2014 #360" </w:instrText>
      </w:r>
      <w:r>
        <w:fldChar w:fldCharType="separate"/>
      </w:r>
      <w:r>
        <w:t>Liao, Hou et al. 2014</w:t>
      </w:r>
      <w:r>
        <w:fldChar w:fldCharType="end"/>
      </w:r>
      <w:r>
        <w:t xml:space="preserve">, </w:t>
      </w:r>
      <w:r>
        <w:fldChar w:fldCharType="begin"/>
      </w:r>
      <w:r>
        <w:instrText xml:space="preserve"> HYPERLINK \l "_ENREF_1" \o "Couzo, 2016 #361" </w:instrText>
      </w:r>
      <w:r>
        <w:fldChar w:fldCharType="separate"/>
      </w:r>
      <w:r>
        <w:t>Couzo, Mccann et al. 2016</w:t>
      </w:r>
      <w:r>
        <w:fldChar w:fldCharType="end"/>
      </w:r>
      <w:r>
        <w:t>)</w:t>
      </w:r>
      <w:r>
        <w:fldChar w:fldCharType="end"/>
      </w:r>
      <w:r>
        <w:t>.</w:t>
      </w:r>
      <w:r>
        <w:tab/>
      </w:r>
    </w:p>
    <w:p>
      <w:pPr>
        <w:pStyle w:val="65"/>
        <w:spacing w:line="360" w:lineRule="auto"/>
      </w:pPr>
      <w:r>
        <w:drawing>
          <wp:anchor distT="0" distB="0" distL="114300" distR="114300" simplePos="0" relativeHeight="251659264" behindDoc="1" locked="0" layoutInCell="1" allowOverlap="1">
            <wp:simplePos x="0" y="0"/>
            <wp:positionH relativeFrom="column">
              <wp:posOffset>1857375</wp:posOffset>
            </wp:positionH>
            <wp:positionV relativeFrom="paragraph">
              <wp:posOffset>13335</wp:posOffset>
            </wp:positionV>
            <wp:extent cx="342265" cy="227965"/>
            <wp:effectExtent l="0" t="0" r="635" b="635"/>
            <wp:wrapTight wrapText="bothSides">
              <wp:wrapPolygon>
                <wp:start x="0" y="0"/>
                <wp:lineTo x="0" y="19855"/>
                <wp:lineTo x="20438" y="19855"/>
                <wp:lineTo x="20438" y="0"/>
                <wp:lineTo x="0" y="0"/>
              </wp:wrapPolygon>
            </wp:wrapTight>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342265" cy="227965"/>
                    </a:xfrm>
                    <a:prstGeom prst="rect">
                      <a:avLst/>
                    </a:prstGeom>
                  </pic:spPr>
                </pic:pic>
              </a:graphicData>
            </a:graphic>
          </wp:anchor>
        </w:drawing>
      </w:r>
      <w:r>
        <w:t xml:space="preserve">Click button and choose “m3tproc_2023en2_tags_apca_cb6r4_11g.12US2.camx.contrib8hrmax_LST.5-9.ioapi” as the </w:t>
      </w:r>
      <w:r>
        <w:rPr>
          <w:b/>
        </w:rPr>
        <w:t>Data Input File</w:t>
      </w:r>
      <w:r>
        <w:t xml:space="preserve">, “US_states.csv” as the </w:t>
      </w:r>
      <w:r>
        <w:rPr>
          <w:b/>
        </w:rPr>
        <w:t xml:space="preserve">Receptor Region File </w:t>
      </w:r>
      <w:r>
        <w:t xml:space="preserve">and “Mapping_Emis_ref_SA_O3.csv” as the </w:t>
      </w:r>
      <w:r>
        <w:rPr>
          <w:b/>
        </w:rPr>
        <w:t xml:space="preserve">Mapping File. </w:t>
      </w:r>
      <w:r>
        <w:t xml:space="preserve">The details of the Receptor Region File and Mapping File are shown in </w:t>
      </w:r>
      <w:r>
        <w:fldChar w:fldCharType="begin"/>
      </w:r>
      <w:r>
        <w:instrText xml:space="preserve"> REF _Ref43653028 \h  \* MERGEFORMAT </w:instrText>
      </w:r>
      <w:r>
        <w:fldChar w:fldCharType="separate"/>
      </w:r>
      <w:r>
        <w:t>Figure 61</w:t>
      </w:r>
      <w:r>
        <w:fldChar w:fldCharType="end"/>
      </w:r>
      <w:r>
        <w:t xml:space="preserve"> and </w:t>
      </w:r>
      <w:r>
        <w:fldChar w:fldCharType="begin"/>
      </w:r>
      <w:r>
        <w:instrText xml:space="preserve"> REF _Ref43653033 \h  \* MERGEFORMAT </w:instrText>
      </w:r>
      <w:r>
        <w:fldChar w:fldCharType="separate"/>
      </w:r>
      <w:r>
        <w:t>Figure 62</w:t>
      </w:r>
      <w:r>
        <w:fldChar w:fldCharType="end"/>
      </w:r>
      <w:r>
        <w:t>, respectively.</w:t>
      </w:r>
    </w:p>
    <w:p>
      <w:pPr>
        <w:spacing w:line="360" w:lineRule="auto"/>
        <w:ind w:firstLine="240"/>
        <w:jc w:val="center"/>
        <w:rPr>
          <w:rFonts w:eastAsia="宋体" w:cs="Times New Roman"/>
          <w:szCs w:val="24"/>
        </w:rPr>
      </w:pPr>
      <w:r>
        <w:drawing>
          <wp:inline distT="0" distB="0" distL="0" distR="0">
            <wp:extent cx="2887980" cy="4029710"/>
            <wp:effectExtent l="0" t="0" r="7620"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8"/>
                    <a:stretch>
                      <a:fillRect/>
                    </a:stretch>
                  </pic:blipFill>
                  <pic:spPr>
                    <a:xfrm>
                      <a:off x="0" y="0"/>
                      <a:ext cx="2894221" cy="4038863"/>
                    </a:xfrm>
                    <a:prstGeom prst="rect">
                      <a:avLst/>
                    </a:prstGeom>
                  </pic:spPr>
                </pic:pic>
              </a:graphicData>
            </a:graphic>
          </wp:inline>
        </w:drawing>
      </w:r>
    </w:p>
    <w:p>
      <w:pPr>
        <w:pStyle w:val="11"/>
        <w:spacing w:line="360" w:lineRule="auto"/>
        <w:ind w:firstLine="240"/>
      </w:pPr>
      <w:bookmarkStart w:id="213" w:name="_Ref43653028"/>
      <w:bookmarkStart w:id="214" w:name="_Toc43734224"/>
      <w:bookmarkStart w:id="215" w:name="_Toc122982156"/>
      <w:r>
        <w:t xml:space="preserve">Figure </w:t>
      </w:r>
      <w:r>
        <w:fldChar w:fldCharType="begin"/>
      </w:r>
      <w:r>
        <w:instrText xml:space="preserve"> SEQ Fig. \* ARABIC </w:instrText>
      </w:r>
      <w:r>
        <w:fldChar w:fldCharType="separate"/>
      </w:r>
      <w:r>
        <w:t>61</w:t>
      </w:r>
      <w:r>
        <w:fldChar w:fldCharType="end"/>
      </w:r>
      <w:bookmarkEnd w:id="213"/>
      <w:r>
        <w:t>. Receptor Region File</w:t>
      </w:r>
      <w:bookmarkEnd w:id="214"/>
      <w:bookmarkEnd w:id="215"/>
    </w:p>
    <w:p>
      <w:pPr>
        <w:spacing w:line="360" w:lineRule="auto"/>
      </w:pPr>
    </w:p>
    <w:p>
      <w:pPr>
        <w:spacing w:line="360" w:lineRule="auto"/>
        <w:ind w:firstLine="240"/>
        <w:jc w:val="center"/>
        <w:rPr>
          <w:rFonts w:eastAsia="宋体" w:cs="Times New Roman"/>
          <w:szCs w:val="24"/>
        </w:rPr>
      </w:pPr>
      <w:r>
        <w:drawing>
          <wp:inline distT="0" distB="0" distL="0" distR="0">
            <wp:extent cx="3787140" cy="3792220"/>
            <wp:effectExtent l="0" t="0" r="381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79"/>
                    <a:stretch>
                      <a:fillRect/>
                    </a:stretch>
                  </pic:blipFill>
                  <pic:spPr>
                    <a:xfrm>
                      <a:off x="0" y="0"/>
                      <a:ext cx="3797476" cy="3803069"/>
                    </a:xfrm>
                    <a:prstGeom prst="rect">
                      <a:avLst/>
                    </a:prstGeom>
                  </pic:spPr>
                </pic:pic>
              </a:graphicData>
            </a:graphic>
          </wp:inline>
        </w:drawing>
      </w:r>
    </w:p>
    <w:p>
      <w:pPr>
        <w:pStyle w:val="11"/>
        <w:spacing w:line="360" w:lineRule="auto"/>
        <w:ind w:firstLine="240"/>
        <w:rPr>
          <w:rFonts w:eastAsia="宋体" w:cs="Times New Roman"/>
          <w:szCs w:val="24"/>
        </w:rPr>
      </w:pPr>
      <w:bookmarkStart w:id="216" w:name="_Ref43653033"/>
      <w:bookmarkStart w:id="217" w:name="_Toc122982157"/>
      <w:bookmarkStart w:id="218" w:name="_Toc43734225"/>
      <w:r>
        <w:t xml:space="preserve">Figure </w:t>
      </w:r>
      <w:r>
        <w:fldChar w:fldCharType="begin"/>
      </w:r>
      <w:r>
        <w:instrText xml:space="preserve"> SEQ Fig. \* ARABIC </w:instrText>
      </w:r>
      <w:r>
        <w:fldChar w:fldCharType="separate"/>
      </w:r>
      <w:r>
        <w:t>62</w:t>
      </w:r>
      <w:r>
        <w:fldChar w:fldCharType="end"/>
      </w:r>
      <w:bookmarkEnd w:id="216"/>
      <w:r>
        <w:t>. Mapping File</w:t>
      </w:r>
      <w:bookmarkEnd w:id="217"/>
      <w:bookmarkEnd w:id="218"/>
    </w:p>
    <w:p>
      <w:pPr>
        <w:pStyle w:val="65"/>
        <w:spacing w:line="360" w:lineRule="auto"/>
      </w:pPr>
      <w:r>
        <w:t>Click</w:t>
      </w:r>
      <w:r>
        <w:drawing>
          <wp:inline distT="0" distB="0" distL="0" distR="0">
            <wp:extent cx="323850" cy="276860"/>
            <wp:effectExtent l="0" t="0" r="0" b="889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80"/>
                    <a:stretch>
                      <a:fillRect/>
                    </a:stretch>
                  </pic:blipFill>
                  <pic:spPr>
                    <a:xfrm>
                      <a:off x="0" y="0"/>
                      <a:ext cx="329153" cy="281277"/>
                    </a:xfrm>
                    <a:prstGeom prst="rect">
                      <a:avLst/>
                    </a:prstGeom>
                  </pic:spPr>
                </pic:pic>
              </a:graphicData>
            </a:graphic>
          </wp:inline>
        </w:drawing>
      </w:r>
      <w:r>
        <w:t xml:space="preserve"> and go to set up the Emission &amp; Spatial Field Input Option.</w:t>
      </w:r>
    </w:p>
    <w:p>
      <w:pPr>
        <w:spacing w:line="360" w:lineRule="auto"/>
        <w:rPr>
          <w:rFonts w:cs="Times New Roman"/>
          <w:b/>
          <w:szCs w:val="24"/>
        </w:rPr>
      </w:pPr>
      <w:r>
        <w:drawing>
          <wp:inline distT="0" distB="0" distL="0" distR="0">
            <wp:extent cx="5274310" cy="4512310"/>
            <wp:effectExtent l="0" t="0" r="2540" b="2540"/>
            <wp:docPr id="69" name="P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 67"/>
                    <pic:cNvPicPr>
                      <a:picLocks noChangeAspect="1"/>
                    </pic:cNvPicPr>
                  </pic:nvPicPr>
                  <pic:blipFill>
                    <a:blip r:embed="rId81" cstate="print"/>
                    <a:stretch>
                      <a:fillRect/>
                    </a:stretch>
                  </pic:blipFill>
                  <pic:spPr>
                    <a:xfrm>
                      <a:off x="0" y="0"/>
                      <a:ext cx="5274310" cy="4512677"/>
                    </a:xfrm>
                    <a:prstGeom prst="rect">
                      <a:avLst/>
                    </a:prstGeom>
                  </pic:spPr>
                </pic:pic>
              </a:graphicData>
            </a:graphic>
          </wp:inline>
        </w:drawing>
      </w:r>
    </w:p>
    <w:p>
      <w:pPr>
        <w:pStyle w:val="11"/>
        <w:spacing w:line="360" w:lineRule="auto"/>
        <w:ind w:firstLine="240"/>
      </w:pPr>
      <w:bookmarkStart w:id="219" w:name="_Toc43734226"/>
      <w:bookmarkStart w:id="220" w:name="_Toc122982158"/>
      <w:r>
        <w:t xml:space="preserve">Figure </w:t>
      </w:r>
      <w:r>
        <w:fldChar w:fldCharType="begin"/>
      </w:r>
      <w:r>
        <w:instrText xml:space="preserve"> SEQ Fig. \* ARABIC </w:instrText>
      </w:r>
      <w:r>
        <w:fldChar w:fldCharType="separate"/>
      </w:r>
      <w:r>
        <w:t>63</w:t>
      </w:r>
      <w:r>
        <w:fldChar w:fldCharType="end"/>
      </w:r>
      <w:r>
        <w:t>. Emission &amp; Spatial Field Input Option for O</w:t>
      </w:r>
      <w:r>
        <w:rPr>
          <w:vertAlign w:val="subscript"/>
        </w:rPr>
        <w:t>3</w:t>
      </w:r>
      <w:r>
        <w:rPr>
          <w:rFonts w:hint="eastAsia"/>
        </w:rPr>
        <w:t>-</w:t>
      </w:r>
      <w:r>
        <w:t>MDA8</w:t>
      </w:r>
      <w:bookmarkEnd w:id="219"/>
      <w:r>
        <w:t xml:space="preserve"> analysis</w:t>
      </w:r>
      <w:bookmarkEnd w:id="220"/>
    </w:p>
    <w:p>
      <w:pPr>
        <w:spacing w:line="360" w:lineRule="auto"/>
      </w:pPr>
    </w:p>
    <w:p>
      <w:pPr>
        <w:pStyle w:val="65"/>
        <w:spacing w:line="360" w:lineRule="auto"/>
      </w:pPr>
      <w:r>
        <w:t xml:space="preserve">Click </w:t>
      </w:r>
      <w:r>
        <w:drawing>
          <wp:inline distT="0" distB="0" distL="0" distR="0">
            <wp:extent cx="342265" cy="227965"/>
            <wp:effectExtent l="0" t="0" r="635" b="63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77"/>
                    <a:stretch>
                      <a:fillRect/>
                    </a:stretch>
                  </pic:blipFill>
                  <pic:spPr>
                    <a:xfrm>
                      <a:off x="0" y="0"/>
                      <a:ext cx="342857" cy="228571"/>
                    </a:xfrm>
                    <a:prstGeom prst="rect">
                      <a:avLst/>
                    </a:prstGeom>
                  </pic:spPr>
                </pic:pic>
              </a:graphicData>
            </a:graphic>
          </wp:inline>
        </w:drawing>
      </w:r>
      <w:r>
        <w:t xml:space="preserve">button and select </w:t>
      </w:r>
    </w:p>
    <w:p>
      <w:pPr>
        <w:pStyle w:val="65"/>
        <w:numPr>
          <w:ilvl w:val="0"/>
          <w:numId w:val="0"/>
        </w:numPr>
        <w:spacing w:line="360" w:lineRule="auto"/>
      </w:pPr>
      <w:r>
        <w:t xml:space="preserve">“O3_MDA8 - Spatial Field -- interpolated monitor data, temporally adjusted; gradient-adjusted monitor data, 2023.csv” as the </w:t>
      </w:r>
      <w:r>
        <w:rPr>
          <w:b/>
        </w:rPr>
        <w:t>Input Baseline Spatial File.</w:t>
      </w:r>
      <w:r>
        <w:t xml:space="preserve"> The details of the Baseline Spatial File are shown in </w:t>
      </w:r>
      <w:r>
        <w:fldChar w:fldCharType="begin"/>
      </w:r>
      <w:r>
        <w:instrText xml:space="preserve"> REF _Ref43653347 \h  \* MERGEFORMAT </w:instrText>
      </w:r>
      <w:r>
        <w:fldChar w:fldCharType="separate"/>
      </w:r>
      <w:r>
        <w:t>Figure 64</w:t>
      </w:r>
      <w:r>
        <w:fldChar w:fldCharType="end"/>
      </w:r>
      <w:r>
        <w:t>.</w:t>
      </w:r>
    </w:p>
    <w:p>
      <w:pPr>
        <w:pStyle w:val="65"/>
        <w:numPr>
          <w:ilvl w:val="0"/>
          <w:numId w:val="0"/>
        </w:numPr>
        <w:spacing w:line="360" w:lineRule="auto"/>
      </w:pPr>
    </w:p>
    <w:p>
      <w:pPr>
        <w:spacing w:line="360" w:lineRule="auto"/>
        <w:rPr>
          <w:rFonts w:cs="Times New Roman"/>
          <w:szCs w:val="24"/>
        </w:rPr>
      </w:pPr>
      <w:r>
        <w:drawing>
          <wp:inline distT="0" distB="0" distL="0" distR="0">
            <wp:extent cx="5274310" cy="2783840"/>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82"/>
                    <a:stretch>
                      <a:fillRect/>
                    </a:stretch>
                  </pic:blipFill>
                  <pic:spPr>
                    <a:xfrm>
                      <a:off x="0" y="0"/>
                      <a:ext cx="5274310" cy="2783840"/>
                    </a:xfrm>
                    <a:prstGeom prst="rect">
                      <a:avLst/>
                    </a:prstGeom>
                  </pic:spPr>
                </pic:pic>
              </a:graphicData>
            </a:graphic>
          </wp:inline>
        </w:drawing>
      </w:r>
    </w:p>
    <w:p>
      <w:pPr>
        <w:pStyle w:val="11"/>
        <w:spacing w:line="360" w:lineRule="auto"/>
        <w:ind w:firstLine="240"/>
        <w:rPr>
          <w:rFonts w:cs="Times New Roman"/>
          <w:szCs w:val="24"/>
        </w:rPr>
      </w:pPr>
      <w:bookmarkStart w:id="221" w:name="_Ref43653347"/>
      <w:bookmarkStart w:id="222" w:name="_Toc122982159"/>
      <w:bookmarkStart w:id="223" w:name="_Toc43734227"/>
      <w:r>
        <w:t xml:space="preserve">Figure </w:t>
      </w:r>
      <w:r>
        <w:fldChar w:fldCharType="begin"/>
      </w:r>
      <w:r>
        <w:instrText xml:space="preserve"> SEQ Fig. \* ARABIC </w:instrText>
      </w:r>
      <w:r>
        <w:fldChar w:fldCharType="separate"/>
      </w:r>
      <w:r>
        <w:t>64</w:t>
      </w:r>
      <w:r>
        <w:fldChar w:fldCharType="end"/>
      </w:r>
      <w:bookmarkEnd w:id="221"/>
      <w:r>
        <w:t>. Baseline Spatial File</w:t>
      </w:r>
      <w:bookmarkEnd w:id="222"/>
      <w:bookmarkEnd w:id="223"/>
    </w:p>
    <w:p>
      <w:pPr>
        <w:spacing w:line="360" w:lineRule="auto"/>
        <w:ind w:firstLine="240"/>
        <w:jc w:val="center"/>
        <w:rPr>
          <w:rFonts w:eastAsia="宋体" w:cs="Times New Roman"/>
          <w:szCs w:val="24"/>
        </w:rPr>
      </w:pPr>
    </w:p>
    <w:p>
      <w:pPr>
        <w:pStyle w:val="65"/>
        <w:spacing w:line="360" w:lineRule="auto"/>
      </w:pPr>
      <w:r>
        <w:t xml:space="preserve">Click the next </w:t>
      </w:r>
      <w:r>
        <w:drawing>
          <wp:inline distT="0" distB="0" distL="0" distR="0">
            <wp:extent cx="342265" cy="227965"/>
            <wp:effectExtent l="0" t="0" r="635" b="63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77"/>
                    <a:stretch>
                      <a:fillRect/>
                    </a:stretch>
                  </pic:blipFill>
                  <pic:spPr>
                    <a:xfrm>
                      <a:off x="0" y="0"/>
                      <a:ext cx="342857" cy="228571"/>
                    </a:xfrm>
                    <a:prstGeom prst="rect">
                      <a:avLst/>
                    </a:prstGeom>
                  </pic:spPr>
                </pic:pic>
              </a:graphicData>
            </a:graphic>
          </wp:inline>
        </w:drawing>
      </w:r>
      <w:r>
        <w:t>button and select “emission_files_config_O3.csv”</w:t>
      </w:r>
      <w:r>
        <w:rPr>
          <w:rFonts w:hint="eastAsia"/>
        </w:rPr>
        <w:t xml:space="preserve"> </w:t>
      </w:r>
      <w:r>
        <w:t>as</w:t>
      </w:r>
      <w:r>
        <w:rPr>
          <w:b/>
        </w:rPr>
        <w:t xml:space="preserve"> the Input Cases &amp; Emissions Files.</w:t>
      </w:r>
      <w:r>
        <w:t xml:space="preserve"> The details of the Cases &amp; Emission Files are displayed in </w:t>
      </w:r>
      <w:r>
        <w:fldChar w:fldCharType="begin"/>
      </w:r>
      <w:r>
        <w:instrText xml:space="preserve"> REF _Ref43653363 \h  \* MERGEFORMAT </w:instrText>
      </w:r>
      <w:r>
        <w:fldChar w:fldCharType="separate"/>
      </w:r>
      <w:r>
        <w:t>Figure 65</w:t>
      </w:r>
      <w:r>
        <w:fldChar w:fldCharType="end"/>
      </w:r>
      <w:r>
        <w:t xml:space="preserve"> and </w:t>
      </w:r>
      <w:r>
        <w:fldChar w:fldCharType="begin"/>
      </w:r>
      <w:r>
        <w:instrText xml:space="preserve"> REF _Ref43663068 \h  \* MERGEFORMAT </w:instrText>
      </w:r>
      <w:r>
        <w:fldChar w:fldCharType="separate"/>
      </w:r>
      <w:r>
        <w:t>Figure 66</w:t>
      </w:r>
      <w:r>
        <w:fldChar w:fldCharType="end"/>
      </w:r>
      <w:r>
        <w:t>.</w:t>
      </w:r>
      <w:bookmarkStart w:id="268" w:name="_GoBack"/>
      <w:bookmarkEnd w:id="268"/>
    </w:p>
    <w:p>
      <w:pPr>
        <w:spacing w:line="360" w:lineRule="auto"/>
        <w:jc w:val="center"/>
        <w:rPr>
          <w:rFonts w:eastAsia="宋体" w:cs="Times New Roman"/>
          <w:b/>
          <w:szCs w:val="24"/>
        </w:rPr>
      </w:pPr>
      <w:r>
        <w:drawing>
          <wp:inline distT="0" distB="0" distL="0" distR="0">
            <wp:extent cx="5274310" cy="772160"/>
            <wp:effectExtent l="0" t="0" r="2540" b="889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83"/>
                    <a:stretch>
                      <a:fillRect/>
                    </a:stretch>
                  </pic:blipFill>
                  <pic:spPr>
                    <a:xfrm>
                      <a:off x="0" y="0"/>
                      <a:ext cx="5274310" cy="772160"/>
                    </a:xfrm>
                    <a:prstGeom prst="rect">
                      <a:avLst/>
                    </a:prstGeom>
                  </pic:spPr>
                </pic:pic>
              </a:graphicData>
            </a:graphic>
          </wp:inline>
        </w:drawing>
      </w:r>
    </w:p>
    <w:p>
      <w:pPr>
        <w:pStyle w:val="11"/>
        <w:spacing w:line="360" w:lineRule="auto"/>
        <w:ind w:firstLine="240"/>
      </w:pPr>
      <w:bookmarkStart w:id="224" w:name="_Ref43653363"/>
      <w:bookmarkStart w:id="225" w:name="_Toc43734228"/>
      <w:bookmarkStart w:id="226" w:name="_Toc122982160"/>
      <w:r>
        <w:t xml:space="preserve">Figure </w:t>
      </w:r>
      <w:r>
        <w:fldChar w:fldCharType="begin"/>
      </w:r>
      <w:r>
        <w:instrText xml:space="preserve"> SEQ Fig. \* ARABIC </w:instrText>
      </w:r>
      <w:r>
        <w:fldChar w:fldCharType="separate"/>
      </w:r>
      <w:r>
        <w:t>65</w:t>
      </w:r>
      <w:r>
        <w:fldChar w:fldCharType="end"/>
      </w:r>
      <w:bookmarkEnd w:id="224"/>
      <w:r>
        <w:t>. Cases &amp; Emission Files</w:t>
      </w:r>
      <w:bookmarkEnd w:id="225"/>
      <w:bookmarkEnd w:id="226"/>
    </w:p>
    <w:p/>
    <w:p>
      <w:pPr>
        <w:spacing w:line="360" w:lineRule="auto"/>
        <w:ind w:firstLine="240"/>
        <w:jc w:val="center"/>
      </w:pPr>
      <w:r>
        <w:drawing>
          <wp:inline distT="0" distB="0" distL="0" distR="0">
            <wp:extent cx="1623060" cy="272669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84"/>
                    <a:stretch>
                      <a:fillRect/>
                    </a:stretch>
                  </pic:blipFill>
                  <pic:spPr>
                    <a:xfrm>
                      <a:off x="0" y="0"/>
                      <a:ext cx="1625639" cy="2731337"/>
                    </a:xfrm>
                    <a:prstGeom prst="rect">
                      <a:avLst/>
                    </a:prstGeom>
                  </pic:spPr>
                </pic:pic>
              </a:graphicData>
            </a:graphic>
          </wp:inline>
        </w:drawing>
      </w:r>
    </w:p>
    <w:p>
      <w:pPr>
        <w:pStyle w:val="11"/>
        <w:spacing w:line="360" w:lineRule="auto"/>
        <w:ind w:firstLine="240"/>
      </w:pPr>
      <w:bookmarkStart w:id="227" w:name="_Ref43663068"/>
      <w:bookmarkStart w:id="228" w:name="_Toc43734229"/>
      <w:bookmarkStart w:id="229" w:name="_Toc122982161"/>
      <w:r>
        <w:t xml:space="preserve">Figure </w:t>
      </w:r>
      <w:r>
        <w:fldChar w:fldCharType="begin"/>
      </w:r>
      <w:r>
        <w:instrText xml:space="preserve"> SEQ Fig. \* ARABIC </w:instrText>
      </w:r>
      <w:r>
        <w:fldChar w:fldCharType="separate"/>
      </w:r>
      <w:r>
        <w:t>66</w:t>
      </w:r>
      <w:r>
        <w:fldChar w:fldCharType="end"/>
      </w:r>
      <w:bookmarkEnd w:id="227"/>
      <w:r>
        <w:t>. An example of “Emission File”</w:t>
      </w:r>
      <w:bookmarkEnd w:id="228"/>
      <w:bookmarkEnd w:id="229"/>
    </w:p>
    <w:p>
      <w:pPr>
        <w:spacing w:line="360" w:lineRule="auto"/>
        <w:ind w:firstLine="200"/>
        <w:jc w:val="center"/>
      </w:pPr>
      <w:r>
        <w:rPr>
          <w:sz w:val="20"/>
          <w:szCs w:val="20"/>
        </w:rPr>
        <w:t>(“2025_final_ACE_NOX_summer.csv”)</w:t>
      </w:r>
    </w:p>
    <w:p>
      <w:pPr>
        <w:pStyle w:val="65"/>
        <w:spacing w:line="360" w:lineRule="auto"/>
      </w:pPr>
      <w:r>
        <w:t>Click</w:t>
      </w:r>
      <w:r>
        <w:drawing>
          <wp:inline distT="0" distB="0" distL="0" distR="0">
            <wp:extent cx="323850" cy="276860"/>
            <wp:effectExtent l="0" t="0" r="0" b="889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80"/>
                    <a:stretch>
                      <a:fillRect/>
                    </a:stretch>
                  </pic:blipFill>
                  <pic:spPr>
                    <a:xfrm>
                      <a:off x="0" y="0"/>
                      <a:ext cx="329153" cy="281277"/>
                    </a:xfrm>
                    <a:prstGeom prst="rect">
                      <a:avLst/>
                    </a:prstGeom>
                  </pic:spPr>
                </pic:pic>
              </a:graphicData>
            </a:graphic>
          </wp:inline>
        </w:drawing>
      </w:r>
      <w:r>
        <w:t xml:space="preserve"> and go to set up the QA/Validation Input Option.</w:t>
      </w:r>
    </w:p>
    <w:p>
      <w:pPr>
        <w:spacing w:line="360" w:lineRule="auto"/>
        <w:jc w:val="center"/>
        <w:rPr>
          <w:rFonts w:cs="Times New Roman"/>
          <w:b/>
          <w:szCs w:val="24"/>
        </w:rPr>
      </w:pPr>
      <w:r>
        <w:drawing>
          <wp:inline distT="0" distB="0" distL="0" distR="0">
            <wp:extent cx="5274310" cy="4331335"/>
            <wp:effectExtent l="0" t="0" r="2540" b="0"/>
            <wp:docPr id="76" name="P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 74"/>
                    <pic:cNvPicPr>
                      <a:picLocks noChangeAspect="1"/>
                    </pic:cNvPicPr>
                  </pic:nvPicPr>
                  <pic:blipFill>
                    <a:blip r:embed="rId85" cstate="print"/>
                    <a:stretch>
                      <a:fillRect/>
                    </a:stretch>
                  </pic:blipFill>
                  <pic:spPr>
                    <a:xfrm>
                      <a:off x="0" y="0"/>
                      <a:ext cx="5274310" cy="4331789"/>
                    </a:xfrm>
                    <a:prstGeom prst="rect">
                      <a:avLst/>
                    </a:prstGeom>
                  </pic:spPr>
                </pic:pic>
              </a:graphicData>
            </a:graphic>
          </wp:inline>
        </w:drawing>
      </w:r>
    </w:p>
    <w:p>
      <w:pPr>
        <w:pStyle w:val="11"/>
        <w:spacing w:line="360" w:lineRule="auto"/>
        <w:ind w:firstLine="240"/>
        <w:rPr>
          <w:rFonts w:cs="Times New Roman"/>
          <w:szCs w:val="24"/>
        </w:rPr>
      </w:pPr>
      <w:bookmarkStart w:id="230" w:name="_Toc43734230"/>
      <w:bookmarkStart w:id="231" w:name="_Toc122982162"/>
      <w:r>
        <w:t xml:space="preserve">Figure </w:t>
      </w:r>
      <w:r>
        <w:fldChar w:fldCharType="begin"/>
      </w:r>
      <w:r>
        <w:instrText xml:space="preserve"> SEQ Fig. \* ARABIC </w:instrText>
      </w:r>
      <w:r>
        <w:fldChar w:fldCharType="separate"/>
      </w:r>
      <w:r>
        <w:t>67</w:t>
      </w:r>
      <w:r>
        <w:fldChar w:fldCharType="end"/>
      </w:r>
      <w:r>
        <w:t>. QA/Validation Input Option for O</w:t>
      </w:r>
      <w:r>
        <w:rPr>
          <w:vertAlign w:val="subscript"/>
        </w:rPr>
        <w:t>3</w:t>
      </w:r>
      <w:r>
        <w:rPr>
          <w:rFonts w:hint="eastAsia"/>
        </w:rPr>
        <w:t>-</w:t>
      </w:r>
      <w:r>
        <w:t>MDA8</w:t>
      </w:r>
      <w:bookmarkEnd w:id="230"/>
      <w:r>
        <w:t xml:space="preserve"> analysis</w:t>
      </w:r>
      <w:bookmarkEnd w:id="231"/>
    </w:p>
    <w:p>
      <w:pPr>
        <w:pStyle w:val="65"/>
        <w:spacing w:line="360" w:lineRule="auto"/>
      </w:pPr>
      <w:r>
        <w:t xml:space="preserve">Check “Conduct QA/Validation”, click </w:t>
      </w:r>
      <w:r>
        <w:drawing>
          <wp:inline distT="0" distB="0" distL="0" distR="0">
            <wp:extent cx="342265" cy="227965"/>
            <wp:effectExtent l="0" t="0" r="635" b="63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77"/>
                    <a:stretch>
                      <a:fillRect/>
                    </a:stretch>
                  </pic:blipFill>
                  <pic:spPr>
                    <a:xfrm>
                      <a:off x="0" y="0"/>
                      <a:ext cx="342857" cy="228571"/>
                    </a:xfrm>
                    <a:prstGeom prst="rect">
                      <a:avLst/>
                    </a:prstGeom>
                  </pic:spPr>
                </pic:pic>
              </a:graphicData>
            </a:graphic>
          </wp:inline>
        </w:drawing>
      </w:r>
      <w:r>
        <w:t xml:space="preserve">button and select “Validation_files_config_O3_MDA8.csv” as the </w:t>
      </w:r>
      <w:r>
        <w:rPr>
          <w:b/>
        </w:rPr>
        <w:t xml:space="preserve">Validation Configuration File. </w:t>
      </w:r>
      <w:r>
        <w:t xml:space="preserve">The details of the Validation Configuration File and an example of “QA File” are shown in </w:t>
      </w:r>
      <w:r>
        <w:fldChar w:fldCharType="begin"/>
      </w:r>
      <w:r>
        <w:instrText xml:space="preserve"> REF _Ref43653504 \h  \* MERGEFORMAT </w:instrText>
      </w:r>
      <w:r>
        <w:fldChar w:fldCharType="separate"/>
      </w:r>
      <w:r>
        <w:t>Figure 68</w:t>
      </w:r>
      <w:r>
        <w:fldChar w:fldCharType="end"/>
      </w:r>
      <w:r>
        <w:t xml:space="preserve"> and </w:t>
      </w:r>
      <w:r>
        <w:fldChar w:fldCharType="begin"/>
      </w:r>
      <w:r>
        <w:instrText xml:space="preserve"> REF _Ref43662994 \h  \* MERGEFORMAT </w:instrText>
      </w:r>
      <w:r>
        <w:fldChar w:fldCharType="separate"/>
      </w:r>
      <w:r>
        <w:t>Figure 69</w:t>
      </w:r>
      <w:r>
        <w:fldChar w:fldCharType="end"/>
      </w:r>
      <w:r>
        <w:t>, respectively.</w:t>
      </w:r>
    </w:p>
    <w:p>
      <w:pPr>
        <w:spacing w:line="360" w:lineRule="auto"/>
        <w:ind w:firstLine="240"/>
        <w:rPr>
          <w:rFonts w:cs="Times New Roman"/>
          <w:szCs w:val="24"/>
        </w:rPr>
      </w:pPr>
    </w:p>
    <w:p>
      <w:pPr>
        <w:spacing w:line="360" w:lineRule="auto"/>
        <w:jc w:val="center"/>
        <w:rPr>
          <w:rFonts w:cs="Times New Roman"/>
          <w:szCs w:val="24"/>
        </w:rPr>
      </w:pPr>
      <w:r>
        <w:drawing>
          <wp:inline distT="0" distB="0" distL="0" distR="0">
            <wp:extent cx="5274310" cy="434340"/>
            <wp:effectExtent l="0" t="0" r="2540" b="381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86"/>
                    <a:stretch>
                      <a:fillRect/>
                    </a:stretch>
                  </pic:blipFill>
                  <pic:spPr>
                    <a:xfrm>
                      <a:off x="0" y="0"/>
                      <a:ext cx="5274310" cy="434340"/>
                    </a:xfrm>
                    <a:prstGeom prst="rect">
                      <a:avLst/>
                    </a:prstGeom>
                  </pic:spPr>
                </pic:pic>
              </a:graphicData>
            </a:graphic>
          </wp:inline>
        </w:drawing>
      </w:r>
    </w:p>
    <w:p>
      <w:pPr>
        <w:pStyle w:val="11"/>
        <w:spacing w:line="360" w:lineRule="auto"/>
        <w:ind w:firstLine="240"/>
        <w:rPr>
          <w:rFonts w:cs="Times New Roman"/>
          <w:szCs w:val="24"/>
        </w:rPr>
      </w:pPr>
      <w:bookmarkStart w:id="232" w:name="_Ref43653504"/>
      <w:bookmarkStart w:id="233" w:name="_Toc43734231"/>
      <w:bookmarkStart w:id="234" w:name="_Toc122982163"/>
      <w:r>
        <w:t xml:space="preserve">Figure </w:t>
      </w:r>
      <w:r>
        <w:fldChar w:fldCharType="begin"/>
      </w:r>
      <w:r>
        <w:instrText xml:space="preserve"> SEQ Fig. \* ARABIC </w:instrText>
      </w:r>
      <w:r>
        <w:fldChar w:fldCharType="separate"/>
      </w:r>
      <w:r>
        <w:t>68</w:t>
      </w:r>
      <w:r>
        <w:fldChar w:fldCharType="end"/>
      </w:r>
      <w:bookmarkEnd w:id="232"/>
      <w:r>
        <w:t>. Validation Configuration File</w:t>
      </w:r>
      <w:bookmarkEnd w:id="233"/>
      <w:bookmarkEnd w:id="234"/>
    </w:p>
    <w:p>
      <w:pPr>
        <w:spacing w:line="360" w:lineRule="auto"/>
        <w:ind w:firstLine="240"/>
        <w:jc w:val="center"/>
        <w:rPr>
          <w:rFonts w:eastAsia="宋体" w:cs="Times New Roman"/>
          <w:b/>
          <w:szCs w:val="24"/>
        </w:rPr>
      </w:pPr>
      <w:r>
        <w:drawing>
          <wp:inline distT="0" distB="0" distL="0" distR="0">
            <wp:extent cx="4282440" cy="3982720"/>
            <wp:effectExtent l="0" t="0" r="381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87"/>
                    <a:stretch>
                      <a:fillRect/>
                    </a:stretch>
                  </pic:blipFill>
                  <pic:spPr>
                    <a:xfrm>
                      <a:off x="0" y="0"/>
                      <a:ext cx="4286258" cy="3986437"/>
                    </a:xfrm>
                    <a:prstGeom prst="rect">
                      <a:avLst/>
                    </a:prstGeom>
                  </pic:spPr>
                </pic:pic>
              </a:graphicData>
            </a:graphic>
          </wp:inline>
        </w:drawing>
      </w:r>
    </w:p>
    <w:p>
      <w:pPr>
        <w:pStyle w:val="11"/>
        <w:spacing w:line="360" w:lineRule="auto"/>
        <w:ind w:firstLine="240"/>
      </w:pPr>
      <w:bookmarkStart w:id="235" w:name="_Ref43662994"/>
      <w:bookmarkStart w:id="236" w:name="_Toc122982164"/>
      <w:bookmarkStart w:id="237" w:name="_Toc43734232"/>
      <w:r>
        <w:t xml:space="preserve">Figure </w:t>
      </w:r>
      <w:r>
        <w:fldChar w:fldCharType="begin"/>
      </w:r>
      <w:r>
        <w:instrText xml:space="preserve"> SEQ Fig. \* ARABIC </w:instrText>
      </w:r>
      <w:r>
        <w:fldChar w:fldCharType="separate"/>
      </w:r>
      <w:r>
        <w:t>69</w:t>
      </w:r>
      <w:r>
        <w:fldChar w:fldCharType="end"/>
      </w:r>
      <w:bookmarkEnd w:id="235"/>
      <w:r>
        <w:t>. An example of “QA File”</w:t>
      </w:r>
      <w:bookmarkEnd w:id="236"/>
      <w:bookmarkEnd w:id="237"/>
    </w:p>
    <w:p>
      <w:pPr>
        <w:pStyle w:val="11"/>
        <w:spacing w:line="360" w:lineRule="auto"/>
        <w:ind w:firstLine="240"/>
        <w:rPr>
          <w:rFonts w:eastAsia="宋体" w:cs="Times New Roman"/>
          <w:b/>
          <w:szCs w:val="24"/>
        </w:rPr>
      </w:pPr>
      <w:r>
        <w:t>(“fused_surface_2025_final_ACE_MDA8.BenMAP_ready.O3_Spatial_Field_Future_eVNA.csv”)</w:t>
      </w:r>
    </w:p>
    <w:p>
      <w:pPr>
        <w:pStyle w:val="65"/>
        <w:spacing w:line="360" w:lineRule="auto"/>
        <w:rPr>
          <w:b/>
        </w:rPr>
      </w:pPr>
      <w:r>
        <w:t>Click</w:t>
      </w:r>
      <w:r>
        <w:drawing>
          <wp:inline distT="0" distB="0" distL="0" distR="0">
            <wp:extent cx="323850" cy="276860"/>
            <wp:effectExtent l="0" t="0" r="0" b="889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80"/>
                    <a:stretch>
                      <a:fillRect/>
                    </a:stretch>
                  </pic:blipFill>
                  <pic:spPr>
                    <a:xfrm>
                      <a:off x="0" y="0"/>
                      <a:ext cx="329153" cy="281277"/>
                    </a:xfrm>
                    <a:prstGeom prst="rect">
                      <a:avLst/>
                    </a:prstGeom>
                  </pic:spPr>
                </pic:pic>
              </a:graphicData>
            </a:graphic>
          </wp:inline>
        </w:drawing>
      </w:r>
      <w:r>
        <w:t xml:space="preserve"> button to run FAST-CE.</w:t>
      </w:r>
    </w:p>
    <w:p>
      <w:pPr>
        <w:pStyle w:val="4"/>
      </w:pPr>
      <w:bookmarkStart w:id="238" w:name="_Toc122982090"/>
      <w:r>
        <w:t>View results</w:t>
      </w:r>
      <w:bookmarkEnd w:id="238"/>
    </w:p>
    <w:p>
      <w:pPr>
        <w:pStyle w:val="5"/>
        <w:spacing w:line="360" w:lineRule="auto"/>
      </w:pPr>
      <w:bookmarkStart w:id="239" w:name="_Hlk29513379"/>
      <w:r>
        <w:t>Map results</w:t>
      </w:r>
    </w:p>
    <w:p>
      <w:pPr>
        <w:spacing w:line="360" w:lineRule="auto"/>
      </w:pPr>
    </w:p>
    <w:p>
      <w:pPr>
        <w:spacing w:line="360" w:lineRule="auto"/>
      </w:pPr>
      <w:r>
        <w:t xml:space="preserve">The map results show the distribution of </w:t>
      </w:r>
      <w:r>
        <w:rPr>
          <w:rFonts w:eastAsiaTheme="minorEastAsia"/>
        </w:rPr>
        <w:t>O</w:t>
      </w:r>
      <w:r>
        <w:rPr>
          <w:rFonts w:eastAsiaTheme="minorEastAsia"/>
          <w:vertAlign w:val="subscript"/>
        </w:rPr>
        <w:t>3</w:t>
      </w:r>
      <w:r>
        <w:rPr>
          <w:rFonts w:eastAsiaTheme="minorEastAsia"/>
        </w:rPr>
        <w:t xml:space="preserve">-MDA8 </w:t>
      </w:r>
      <w:r>
        <w:t xml:space="preserve">concentration and the corresponding </w:t>
      </w:r>
      <w:r>
        <w:rPr>
          <w:rFonts w:eastAsiaTheme="minorEastAsia"/>
        </w:rPr>
        <w:t>O</w:t>
      </w:r>
      <w:r>
        <w:rPr>
          <w:rFonts w:eastAsiaTheme="minorEastAsia"/>
          <w:vertAlign w:val="subscript"/>
        </w:rPr>
        <w:t>3</w:t>
      </w:r>
      <w:r>
        <w:rPr>
          <w:rFonts w:eastAsiaTheme="minorEastAsia"/>
        </w:rPr>
        <w:t xml:space="preserve">-MDA8 </w:t>
      </w:r>
      <w:r>
        <w:t>response under selected control scenarios (</w:t>
      </w:r>
      <w:r>
        <w:rPr>
          <w:rFonts w:hint="eastAsia"/>
        </w:rPr>
        <w:t>i</w:t>
      </w:r>
      <w:r>
        <w:t xml:space="preserve">.e., ACE 2025, 2030, 2035), as displayed in </w:t>
      </w:r>
      <w:r>
        <w:fldChar w:fldCharType="begin"/>
      </w:r>
      <w:r>
        <w:instrText xml:space="preserve"> REF _Ref43470187 \h  \* MERGEFORMAT </w:instrText>
      </w:r>
      <w:r>
        <w:fldChar w:fldCharType="separate"/>
      </w:r>
      <w:r>
        <w:t>Figure 70</w:t>
      </w:r>
      <w:r>
        <w:fldChar w:fldCharType="end"/>
      </w:r>
      <w:r>
        <w:t xml:space="preserve">. With the strengthening of the control scenarios, </w:t>
      </w:r>
      <w:r>
        <w:rPr>
          <w:rFonts w:eastAsiaTheme="minorEastAsia"/>
        </w:rPr>
        <w:t>O</w:t>
      </w:r>
      <w:r>
        <w:rPr>
          <w:rFonts w:eastAsiaTheme="minorEastAsia"/>
          <w:vertAlign w:val="subscript"/>
        </w:rPr>
        <w:t>3</w:t>
      </w:r>
      <w:r>
        <w:rPr>
          <w:rFonts w:eastAsiaTheme="minorEastAsia"/>
        </w:rPr>
        <w:t xml:space="preserve">-MDA8 pollution </w:t>
      </w:r>
      <w:r>
        <w:t>has improved significantly throughout the U.S., especially in the southeastern</w:t>
      </w:r>
      <w:r>
        <w:rPr>
          <w:rFonts w:hint="eastAsia"/>
        </w:rPr>
        <w:t xml:space="preserve"> </w:t>
      </w:r>
      <w:r>
        <w:t>U.S.</w:t>
      </w:r>
    </w:p>
    <w:p>
      <w:pPr>
        <w:spacing w:line="360" w:lineRule="auto"/>
        <w:ind w:left="120" w:hanging="120" w:hangingChars="50"/>
        <w:jc w:val="center"/>
        <w:rPr>
          <w:rFonts w:eastAsia="宋体" w:cs="Times New Roman"/>
          <w:szCs w:val="24"/>
        </w:rPr>
      </w:pPr>
      <w:r>
        <w:rPr>
          <w:rFonts w:eastAsia="宋体" w:cs="Times New Roman"/>
          <w:szCs w:val="24"/>
        </w:rPr>
        <w:drawing>
          <wp:inline distT="0" distB="0" distL="0" distR="0">
            <wp:extent cx="5326380" cy="2239645"/>
            <wp:effectExtent l="0" t="0" r="7620"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361461" cy="2254741"/>
                    </a:xfrm>
                    <a:prstGeom prst="rect">
                      <a:avLst/>
                    </a:prstGeom>
                    <a:noFill/>
                  </pic:spPr>
                </pic:pic>
              </a:graphicData>
            </a:graphic>
          </wp:inline>
        </w:drawing>
      </w:r>
    </w:p>
    <w:p>
      <w:pPr>
        <w:pStyle w:val="11"/>
        <w:spacing w:line="360" w:lineRule="auto"/>
        <w:ind w:firstLine="240"/>
        <w:rPr>
          <w:rFonts w:cs="Times New Roman"/>
          <w:szCs w:val="24"/>
        </w:rPr>
      </w:pPr>
      <w:bookmarkStart w:id="240" w:name="_Ref43470187"/>
      <w:bookmarkStart w:id="241" w:name="_Toc122982165"/>
      <w:bookmarkStart w:id="242" w:name="_Toc43734233"/>
      <w:r>
        <w:t xml:space="preserve">Figure </w:t>
      </w:r>
      <w:r>
        <w:fldChar w:fldCharType="begin"/>
      </w:r>
      <w:r>
        <w:instrText xml:space="preserve"> SEQ Fig. \* ARABIC </w:instrText>
      </w:r>
      <w:r>
        <w:fldChar w:fldCharType="separate"/>
      </w:r>
      <w:r>
        <w:t>70</w:t>
      </w:r>
      <w:r>
        <w:fldChar w:fldCharType="end"/>
      </w:r>
      <w:bookmarkEnd w:id="240"/>
      <w:r>
        <w:t>. Map results</w:t>
      </w:r>
      <w:bookmarkEnd w:id="241"/>
      <w:bookmarkEnd w:id="242"/>
    </w:p>
    <w:p>
      <w:pPr>
        <w:pStyle w:val="5"/>
        <w:spacing w:line="360" w:lineRule="auto"/>
      </w:pPr>
      <w:r>
        <w:t>The results of Receptor Analysis</w:t>
      </w:r>
    </w:p>
    <w:p>
      <w:pPr>
        <w:spacing w:line="360" w:lineRule="auto"/>
      </w:pPr>
    </w:p>
    <w:p>
      <w:pPr>
        <w:spacing w:line="360" w:lineRule="auto"/>
      </w:pPr>
      <w:r>
        <w:t>T</w:t>
      </w:r>
      <w:r>
        <w:rPr>
          <w:rFonts w:hint="eastAsia"/>
        </w:rPr>
        <w:t>he</w:t>
      </w:r>
      <w:r>
        <w:t xml:space="preserve"> effects of emission reduction on selected receptor regions are displayed in the Receptor Analysis module, as shown in </w:t>
      </w:r>
      <w:r>
        <w:fldChar w:fldCharType="begin"/>
      </w:r>
      <w:r>
        <w:instrText xml:space="preserve"> REF _Ref43477003 \h  \* MERGEFORMAT </w:instrText>
      </w:r>
      <w:r>
        <w:fldChar w:fldCharType="separate"/>
      </w:r>
      <w:r>
        <w:t>Figure 71</w:t>
      </w:r>
      <w:r>
        <w:fldChar w:fldCharType="end"/>
      </w:r>
      <w:r>
        <w:t xml:space="preserve">. </w:t>
      </w:r>
      <w:r>
        <w:rPr>
          <w:rFonts w:eastAsiaTheme="minorEastAsia"/>
        </w:rPr>
        <w:t>For</w:t>
      </w:r>
      <w:r>
        <w:rPr>
          <w:rFonts w:hint="eastAsia" w:eastAsiaTheme="minorEastAsia"/>
        </w:rPr>
        <w:t xml:space="preserve"> example</w:t>
      </w:r>
      <w:r>
        <w:rPr>
          <w:rFonts w:eastAsiaTheme="minorEastAsia"/>
        </w:rPr>
        <w:t>, the top three contributors to the overall O</w:t>
      </w:r>
      <w:r>
        <w:rPr>
          <w:rFonts w:eastAsiaTheme="minorEastAsia"/>
          <w:vertAlign w:val="subscript"/>
        </w:rPr>
        <w:t>3</w:t>
      </w:r>
      <w:r>
        <w:rPr>
          <w:rFonts w:eastAsiaTheme="minorEastAsia"/>
        </w:rPr>
        <w:t xml:space="preserve">-MDA8 reductions from control </w:t>
      </w:r>
      <w:r>
        <w:t xml:space="preserve">scenarios of ACE 2025 to 2035 are slightly different but all include DC, which indicates that more stringent control measures on DC can effectively alleviate the </w:t>
      </w:r>
      <w:r>
        <w:rPr>
          <w:rFonts w:eastAsiaTheme="minorEastAsia"/>
        </w:rPr>
        <w:t>O</w:t>
      </w:r>
      <w:r>
        <w:rPr>
          <w:rFonts w:eastAsiaTheme="minorEastAsia"/>
          <w:vertAlign w:val="subscript"/>
        </w:rPr>
        <w:t>3</w:t>
      </w:r>
      <w:r>
        <w:rPr>
          <w:rFonts w:eastAsiaTheme="minorEastAsia"/>
        </w:rPr>
        <w:t>-MDA8</w:t>
      </w:r>
      <w:r>
        <w:t xml:space="preserve"> pollution to a certain extent.</w:t>
      </w:r>
    </w:p>
    <w:p>
      <w:pPr>
        <w:spacing w:line="360" w:lineRule="auto"/>
      </w:pPr>
    </w:p>
    <w:bookmarkEnd w:id="239"/>
    <w:p>
      <w:pPr>
        <w:spacing w:line="360" w:lineRule="auto"/>
        <w:jc w:val="center"/>
      </w:pPr>
      <w:r>
        <w:drawing>
          <wp:inline distT="0" distB="0" distL="0" distR="0">
            <wp:extent cx="5257800" cy="3439795"/>
            <wp:effectExtent l="0" t="0" r="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5275288" cy="3451285"/>
                    </a:xfrm>
                    <a:prstGeom prst="rect">
                      <a:avLst/>
                    </a:prstGeom>
                    <a:noFill/>
                  </pic:spPr>
                </pic:pic>
              </a:graphicData>
            </a:graphic>
          </wp:inline>
        </w:drawing>
      </w:r>
    </w:p>
    <w:p>
      <w:pPr>
        <w:pStyle w:val="11"/>
        <w:spacing w:line="360" w:lineRule="auto"/>
        <w:ind w:firstLine="240"/>
      </w:pPr>
      <w:bookmarkStart w:id="243" w:name="_Ref43477003"/>
      <w:bookmarkStart w:id="244" w:name="_Toc122982166"/>
      <w:bookmarkStart w:id="245" w:name="_Toc43734234"/>
      <w:r>
        <w:t xml:space="preserve">Figure </w:t>
      </w:r>
      <w:r>
        <w:fldChar w:fldCharType="begin"/>
      </w:r>
      <w:r>
        <w:instrText xml:space="preserve"> SEQ Fig. \* ARABIC </w:instrText>
      </w:r>
      <w:r>
        <w:fldChar w:fldCharType="separate"/>
      </w:r>
      <w:r>
        <w:t>71</w:t>
      </w:r>
      <w:r>
        <w:fldChar w:fldCharType="end"/>
      </w:r>
      <w:bookmarkEnd w:id="243"/>
      <w:r>
        <w:t>. Results of “Emission Control 1”</w:t>
      </w:r>
      <w:bookmarkEnd w:id="244"/>
      <w:bookmarkEnd w:id="245"/>
    </w:p>
    <w:p>
      <w:pPr>
        <w:spacing w:line="360" w:lineRule="auto"/>
      </w:pPr>
    </w:p>
    <w:p>
      <w:pPr>
        <w:pStyle w:val="5"/>
        <w:spacing w:line="360" w:lineRule="auto"/>
      </w:pPr>
      <w:r>
        <w:t>The results of QA/Validation</w:t>
      </w:r>
    </w:p>
    <w:p>
      <w:pPr>
        <w:spacing w:line="360" w:lineRule="auto"/>
      </w:pPr>
    </w:p>
    <w:p>
      <w:pPr>
        <w:spacing w:line="360" w:lineRule="auto"/>
      </w:pPr>
      <w:r>
        <w:t>In the OA/Validation module, it can be seen that the FAST-CE predictions of O</w:t>
      </w:r>
      <w:r>
        <w:rPr>
          <w:vertAlign w:val="subscript"/>
        </w:rPr>
        <w:t>3</w:t>
      </w:r>
      <w:r>
        <w:t>-MDA8 show good performance with the EPA’s ACE results, with the R</w:t>
      </w:r>
      <w:r>
        <w:rPr>
          <w:vertAlign w:val="superscript"/>
        </w:rPr>
        <w:t>2</w:t>
      </w:r>
      <w:r>
        <w:t xml:space="preserve"> of both concentration and response more than 0.99 (</w:t>
      </w:r>
      <w:r>
        <w:fldChar w:fldCharType="begin"/>
      </w:r>
      <w:r>
        <w:instrText xml:space="preserve"> REF _Ref43481131 \h  \* MERGEFORMAT </w:instrText>
      </w:r>
      <w:r>
        <w:fldChar w:fldCharType="separate"/>
      </w:r>
      <w:r>
        <w:t>Figure 72</w:t>
      </w:r>
      <w:r>
        <w:fldChar w:fldCharType="end"/>
      </w:r>
      <w:r>
        <w:t>).</w:t>
      </w:r>
    </w:p>
    <w:p>
      <w:pPr>
        <w:spacing w:line="360" w:lineRule="auto"/>
      </w:pPr>
    </w:p>
    <w:p>
      <w:pPr>
        <w:spacing w:line="360" w:lineRule="auto"/>
        <w:jc w:val="center"/>
      </w:pPr>
      <w:r>
        <w:drawing>
          <wp:inline distT="0" distB="0" distL="0" distR="0">
            <wp:extent cx="5273040" cy="2933700"/>
            <wp:effectExtent l="0" t="0" r="381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5303954" cy="2951459"/>
                    </a:xfrm>
                    <a:prstGeom prst="rect">
                      <a:avLst/>
                    </a:prstGeom>
                    <a:noFill/>
                  </pic:spPr>
                </pic:pic>
              </a:graphicData>
            </a:graphic>
          </wp:inline>
        </w:drawing>
      </w:r>
    </w:p>
    <w:p>
      <w:pPr>
        <w:pStyle w:val="11"/>
        <w:spacing w:line="360" w:lineRule="auto"/>
        <w:ind w:firstLine="240"/>
      </w:pPr>
      <w:bookmarkStart w:id="246" w:name="_Ref43481131"/>
      <w:bookmarkStart w:id="247" w:name="_Toc43734235"/>
      <w:bookmarkStart w:id="248" w:name="_Toc122982167"/>
      <w:r>
        <w:t xml:space="preserve">Figure </w:t>
      </w:r>
      <w:r>
        <w:fldChar w:fldCharType="begin"/>
      </w:r>
      <w:r>
        <w:instrText xml:space="preserve"> SEQ Fig. \* ARABIC </w:instrText>
      </w:r>
      <w:r>
        <w:fldChar w:fldCharType="separate"/>
      </w:r>
      <w:r>
        <w:t>72</w:t>
      </w:r>
      <w:r>
        <w:fldChar w:fldCharType="end"/>
      </w:r>
      <w:bookmarkEnd w:id="246"/>
      <w:r>
        <w:t>. Results of QA/Validation</w:t>
      </w:r>
      <w:bookmarkEnd w:id="247"/>
      <w:bookmarkEnd w:id="248"/>
    </w:p>
    <w:p>
      <w:pPr>
        <w:spacing w:line="360" w:lineRule="auto"/>
      </w:pPr>
    </w:p>
    <w:p>
      <w:pPr>
        <w:pStyle w:val="5"/>
        <w:spacing w:line="360" w:lineRule="auto"/>
      </w:pPr>
      <w:r>
        <w:t>Data results</w:t>
      </w:r>
    </w:p>
    <w:p>
      <w:pPr>
        <w:spacing w:line="360" w:lineRule="auto"/>
      </w:pPr>
      <w:r>
        <w:t>The</w:t>
      </w:r>
      <w:r>
        <w:rPr>
          <w:rFonts w:hint="eastAsia"/>
        </w:rPr>
        <w:t xml:space="preserve"> more</w:t>
      </w:r>
      <w:r>
        <w:t xml:space="preserve"> detailed information about </w:t>
      </w:r>
      <w:r>
        <w:rPr>
          <w:rFonts w:hint="eastAsia"/>
        </w:rPr>
        <w:t>the</w:t>
      </w:r>
      <w:r>
        <w:t xml:space="preserve"> O</w:t>
      </w:r>
      <w:r>
        <w:rPr>
          <w:vertAlign w:val="subscript"/>
        </w:rPr>
        <w:t>3</w:t>
      </w:r>
      <w:r>
        <w:t xml:space="preserve">-MDA8 concentration of each grid, including the baseline concentration and the concentration </w:t>
      </w:r>
      <w:r>
        <w:rPr>
          <w:rFonts w:hint="eastAsia"/>
        </w:rPr>
        <w:t>that</w:t>
      </w:r>
      <w:r>
        <w:t xml:space="preserve"> responds to the control scenarios (</w:t>
      </w:r>
      <w:r>
        <w:rPr>
          <w:rFonts w:hint="eastAsia"/>
        </w:rPr>
        <w:t>i</w:t>
      </w:r>
      <w:r>
        <w:t>.e., ACE 2025, 2030, 2035), can be seen in the Data module (</w:t>
      </w:r>
      <w:r>
        <w:fldChar w:fldCharType="begin"/>
      </w:r>
      <w:r>
        <w:instrText xml:space="preserve"> REF _Ref43492497 \h  \* MERGEFORMAT </w:instrText>
      </w:r>
      <w:r>
        <w:fldChar w:fldCharType="separate"/>
      </w:r>
      <w:r>
        <w:t>Figure 73</w:t>
      </w:r>
      <w:r>
        <w:fldChar w:fldCharType="end"/>
      </w:r>
      <w:r>
        <w:t>).</w:t>
      </w:r>
    </w:p>
    <w:p>
      <w:pPr>
        <w:adjustRightInd/>
        <w:snapToGrid/>
        <w:spacing w:line="360" w:lineRule="auto"/>
        <w:jc w:val="left"/>
      </w:pPr>
      <w:r>
        <w:br w:type="page"/>
      </w:r>
    </w:p>
    <w:p>
      <w:pPr>
        <w:spacing w:line="360" w:lineRule="auto"/>
      </w:pPr>
    </w:p>
    <w:p>
      <w:pPr>
        <w:spacing w:line="360" w:lineRule="auto"/>
        <w:ind w:firstLine="240"/>
        <w:jc w:val="center"/>
      </w:pPr>
      <w:r>
        <w:drawing>
          <wp:inline distT="0" distB="0" distL="0" distR="0">
            <wp:extent cx="4861560" cy="46482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1"/>
                    <a:stretch>
                      <a:fillRect/>
                    </a:stretch>
                  </pic:blipFill>
                  <pic:spPr>
                    <a:xfrm>
                      <a:off x="0" y="0"/>
                      <a:ext cx="4872156" cy="4658053"/>
                    </a:xfrm>
                    <a:prstGeom prst="rect">
                      <a:avLst/>
                    </a:prstGeom>
                  </pic:spPr>
                </pic:pic>
              </a:graphicData>
            </a:graphic>
          </wp:inline>
        </w:drawing>
      </w:r>
    </w:p>
    <w:p>
      <w:pPr>
        <w:pStyle w:val="11"/>
        <w:spacing w:line="360" w:lineRule="auto"/>
        <w:ind w:firstLine="240"/>
      </w:pPr>
      <w:bookmarkStart w:id="249" w:name="_Ref43492497"/>
      <w:bookmarkStart w:id="250" w:name="_Toc43734236"/>
      <w:bookmarkStart w:id="251" w:name="_Toc122982168"/>
      <w:r>
        <w:t xml:space="preserve">Figure </w:t>
      </w:r>
      <w:r>
        <w:fldChar w:fldCharType="begin"/>
      </w:r>
      <w:r>
        <w:instrText xml:space="preserve"> SEQ Fig. \* ARABIC </w:instrText>
      </w:r>
      <w:r>
        <w:fldChar w:fldCharType="separate"/>
      </w:r>
      <w:r>
        <w:t>73</w:t>
      </w:r>
      <w:r>
        <w:fldChar w:fldCharType="end"/>
      </w:r>
      <w:bookmarkEnd w:id="249"/>
      <w:r>
        <w:t>. Data results</w:t>
      </w:r>
      <w:bookmarkEnd w:id="250"/>
      <w:bookmarkEnd w:id="251"/>
    </w:p>
    <w:p>
      <w:pPr>
        <w:spacing w:line="360" w:lineRule="auto"/>
        <w:ind w:firstLine="240"/>
      </w:pPr>
      <w:r>
        <w:br w:type="page"/>
      </w:r>
    </w:p>
    <w:p>
      <w:pPr>
        <w:pStyle w:val="2"/>
        <w:spacing w:line="360" w:lineRule="auto"/>
      </w:pPr>
      <w:bookmarkStart w:id="252" w:name="_Toc122982091"/>
      <w:r>
        <w:t>Reference</w:t>
      </w:r>
      <w:bookmarkEnd w:id="252"/>
    </w:p>
    <w:p>
      <w:pPr>
        <w:pStyle w:val="42"/>
        <w:numPr>
          <w:ilvl w:val="0"/>
          <w:numId w:val="17"/>
        </w:numPr>
        <w:spacing w:before="120" w:after="120" w:line="360" w:lineRule="auto"/>
        <w:ind w:left="360" w:hanging="360" w:hangingChars="150"/>
      </w:pPr>
      <w:r>
        <w:fldChar w:fldCharType="begin"/>
      </w:r>
      <w:r>
        <w:instrText xml:space="preserve"> ADDIN EN.REFLIST </w:instrText>
      </w:r>
      <w:r>
        <w:fldChar w:fldCharType="separate"/>
      </w:r>
      <w:bookmarkStart w:id="253" w:name="_ENREF_1"/>
      <w:r>
        <w:t xml:space="preserve">Couzo, E., J. Mccann, W. Vizuete, S. Blumsack and J. J. West (2016). "Modeled response of ozone to electricity generation emissions in the northeastern United States using three sensitivity techniques." </w:t>
      </w:r>
      <w:r>
        <w:rPr>
          <w:u w:val="single"/>
        </w:rPr>
        <w:t>Journal of the Air &amp; Waste Management Association</w:t>
      </w:r>
      <w:r>
        <w:t xml:space="preserve"> </w:t>
      </w:r>
      <w:r>
        <w:rPr>
          <w:b/>
        </w:rPr>
        <w:t>66</w:t>
      </w:r>
      <w:r>
        <w:t>(5): 456-469.</w:t>
      </w:r>
      <w:bookmarkEnd w:id="253"/>
    </w:p>
    <w:p>
      <w:pPr>
        <w:pStyle w:val="42"/>
        <w:numPr>
          <w:ilvl w:val="0"/>
          <w:numId w:val="17"/>
        </w:numPr>
        <w:spacing w:before="120" w:after="120" w:line="360" w:lineRule="auto"/>
        <w:ind w:left="360" w:hanging="360" w:hangingChars="150"/>
      </w:pPr>
      <w:bookmarkStart w:id="254" w:name="_ENREF_2"/>
      <w:r>
        <w:t xml:space="preserve">Dunker, A. M., G. Yarwood, J. P. Ortmann and G. M. Wilson (2002). "Comparison of Source Apportionment and Source Sensitivity of Ozone in a Three-Dimensional Air Quality Model." </w:t>
      </w:r>
      <w:r>
        <w:rPr>
          <w:u w:val="single"/>
        </w:rPr>
        <w:t>Environmental Science &amp; Technology</w:t>
      </w:r>
      <w:r>
        <w:t xml:space="preserve"> </w:t>
      </w:r>
      <w:r>
        <w:rPr>
          <w:b/>
        </w:rPr>
        <w:t>36</w:t>
      </w:r>
      <w:r>
        <w:t>(13): 2953-2964.</w:t>
      </w:r>
      <w:bookmarkEnd w:id="254"/>
    </w:p>
    <w:p>
      <w:pPr>
        <w:pStyle w:val="42"/>
        <w:numPr>
          <w:ilvl w:val="0"/>
          <w:numId w:val="17"/>
        </w:numPr>
        <w:spacing w:before="120" w:after="120" w:line="360" w:lineRule="auto"/>
        <w:ind w:left="360" w:hanging="360" w:hangingChars="150"/>
      </w:pPr>
      <w:bookmarkStart w:id="255" w:name="_ENREF_3"/>
      <w:r>
        <w:t xml:space="preserve">Hakami, A., J. Seinfeld, T. Chai, Y. Tang, G. Carmichael and A. Sandu (2006). "Adjoint sensitivity analysis of ozone nonattainment over the continental United States." </w:t>
      </w:r>
      <w:r>
        <w:rPr>
          <w:u w:val="single"/>
        </w:rPr>
        <w:t>Environmental Science &amp; Technology</w:t>
      </w:r>
      <w:r>
        <w:t xml:space="preserve"> </w:t>
      </w:r>
      <w:r>
        <w:rPr>
          <w:b/>
        </w:rPr>
        <w:t>40</w:t>
      </w:r>
      <w:r>
        <w:t>(12): p. 3855-3864.</w:t>
      </w:r>
      <w:bookmarkEnd w:id="255"/>
    </w:p>
    <w:p>
      <w:pPr>
        <w:pStyle w:val="42"/>
        <w:numPr>
          <w:ilvl w:val="0"/>
          <w:numId w:val="17"/>
        </w:numPr>
        <w:spacing w:before="120" w:after="120" w:line="360" w:lineRule="auto"/>
        <w:ind w:left="360" w:hanging="360" w:hangingChars="150"/>
      </w:pPr>
      <w:bookmarkStart w:id="256" w:name="_ENREF_4"/>
      <w:r>
        <w:t xml:space="preserve">Li, L., J. Y. An, Y. Y. Shi, M. Zhou, R. S. Yan, C. Huang, H. L. Wang, S. R. Lou, Q. Wang and Q. Lu (2016). "Source apportionment of surface ozone in the Yangtze River Delta, China in the summer of 2013." </w:t>
      </w:r>
      <w:r>
        <w:rPr>
          <w:u w:val="single"/>
        </w:rPr>
        <w:t>Atmospheric Environment</w:t>
      </w:r>
      <w:r>
        <w:t xml:space="preserve"> </w:t>
      </w:r>
      <w:r>
        <w:rPr>
          <w:b/>
        </w:rPr>
        <w:t>144</w:t>
      </w:r>
      <w:r>
        <w:t>: 194-207.</w:t>
      </w:r>
      <w:bookmarkEnd w:id="256"/>
    </w:p>
    <w:p>
      <w:pPr>
        <w:pStyle w:val="42"/>
        <w:numPr>
          <w:ilvl w:val="0"/>
          <w:numId w:val="17"/>
        </w:numPr>
        <w:spacing w:before="120" w:after="120" w:line="360" w:lineRule="auto"/>
        <w:ind w:left="360" w:hanging="360" w:hangingChars="150"/>
      </w:pPr>
      <w:bookmarkStart w:id="257" w:name="_ENREF_5"/>
      <w:r>
        <w:t xml:space="preserve">Liao, K. J., X. Hou and D. R. Baker (2014). "Impacts of interstate transport of pollutants on high ozone events over the Mid-Atlantic United States." </w:t>
      </w:r>
      <w:r>
        <w:rPr>
          <w:u w:val="single"/>
        </w:rPr>
        <w:t>Atmospheric Environment</w:t>
      </w:r>
      <w:r>
        <w:t xml:space="preserve"> </w:t>
      </w:r>
      <w:r>
        <w:rPr>
          <w:b/>
        </w:rPr>
        <w:t>84</w:t>
      </w:r>
      <w:r>
        <w:t>(feb.): 100-112.</w:t>
      </w:r>
      <w:bookmarkEnd w:id="257"/>
    </w:p>
    <w:p>
      <w:pPr>
        <w:pStyle w:val="42"/>
        <w:numPr>
          <w:ilvl w:val="0"/>
          <w:numId w:val="17"/>
        </w:numPr>
        <w:spacing w:before="120" w:after="120" w:line="360" w:lineRule="auto"/>
        <w:ind w:left="360" w:hanging="360" w:hangingChars="150"/>
      </w:pPr>
      <w:bookmarkStart w:id="258" w:name="_ENREF_6"/>
      <w:r>
        <w:t xml:space="preserve">Mojtaba, M., A. C. L. and M. Ali (2018). "The importance of transport to ozone pollution in the U.S. Mid-Atlantic." </w:t>
      </w:r>
      <w:r>
        <w:rPr>
          <w:u w:val="single"/>
        </w:rPr>
        <w:t>Atmospheric environment</w:t>
      </w:r>
      <w:r>
        <w:t xml:space="preserve"> </w:t>
      </w:r>
      <w:r>
        <w:rPr>
          <w:b/>
        </w:rPr>
        <w:t>191</w:t>
      </w:r>
      <w:r>
        <w:t>(OCT.): 420-431.</w:t>
      </w:r>
      <w:bookmarkEnd w:id="258"/>
    </w:p>
    <w:p>
      <w:pPr>
        <w:pStyle w:val="42"/>
        <w:spacing w:before="120" w:after="120" w:line="360" w:lineRule="auto"/>
      </w:pPr>
      <w:r>
        <w:fldChar w:fldCharType="end"/>
      </w:r>
    </w:p>
    <w:sectPr>
      <w:footerReference r:id="rId11" w:type="default"/>
      <w:pgSz w:w="11906" w:h="16838"/>
      <w:pgMar w:top="1440" w:right="1800" w:bottom="1440" w:left="1800" w:header="708" w:footer="708" w:gutter="0"/>
      <w:pgNumType w:start="1"/>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MS Gothic">
    <w:panose1 w:val="020B0609070205080204"/>
    <w:charset w:val="80"/>
    <w:family w:val="modern"/>
    <w:pitch w:val="default"/>
    <w:sig w:usb0="E00002FF" w:usb1="6AC7FDFB" w:usb2="08000012" w:usb3="00000000" w:csb0="4002009F" w:csb1="DFD7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WPIconicSymbolsB">
    <w:altName w:val="微软雅黑"/>
    <w:panose1 w:val="00000000000000000000"/>
    <w:charset w:val="86"/>
    <w:family w:val="auto"/>
    <w:pitch w:val="default"/>
    <w:sig w:usb0="00000000" w:usb1="00000000" w:usb2="00000010" w:usb3="00000000" w:csb0="00040000" w:csb1="00000000"/>
  </w:font>
  <w:font w:name="Tahoma">
    <w:panose1 w:val="020B0604030504040204"/>
    <w:charset w:val="00"/>
    <w:family w:val="auto"/>
    <w:pitch w:val="default"/>
    <w:sig w:usb0="E1002EFF" w:usb1="C000605B" w:usb2="00000029" w:usb3="00000000" w:csb0="200101FF" w:csb1="2028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28"/>
      </w:rPr>
      <w:id w:val="953683943"/>
      <w:docPartObj>
        <w:docPartGallery w:val="AutoText"/>
      </w:docPartObj>
    </w:sdtPr>
    <w:sdtEndPr>
      <w:rPr>
        <w:rStyle w:val="28"/>
      </w:rPr>
    </w:sdtEndPr>
    <w:sdtContent>
      <w:p>
        <w:pPr>
          <w:pStyle w:val="17"/>
          <w:framePr w:wrap="auto" w:vAnchor="text" w:hAnchor="margin" w:xAlign="center" w:y="1"/>
          <w:rPr>
            <w:rStyle w:val="28"/>
          </w:rPr>
        </w:pPr>
        <w:r>
          <w:rPr>
            <w:rStyle w:val="28"/>
          </w:rPr>
          <w:fldChar w:fldCharType="begin"/>
        </w:r>
        <w:r>
          <w:rPr>
            <w:rStyle w:val="28"/>
          </w:rPr>
          <w:instrText xml:space="preserve"> PAGE </w:instrText>
        </w:r>
        <w:r>
          <w:rPr>
            <w:rStyle w:val="28"/>
          </w:rPr>
          <w:fldChar w:fldCharType="end"/>
        </w:r>
      </w:p>
    </w:sdtContent>
  </w:sdt>
  <w:p>
    <w:pPr>
      <w:pStyle w:val="1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left" w:pos="4395"/>
        <w:tab w:val="right" w:pos="9360"/>
      </w:tabs>
      <w:rPr>
        <w:i/>
        <w:iCs/>
      </w:rPr>
    </w:pPr>
    <w:r>
      <w:rPr>
        <w:i/>
        <w:iCs/>
      </w:rPr>
      <w:t>UNC Institute for the Environment</w:t>
    </w:r>
    <w:r>
      <w:rPr>
        <w:i/>
        <w:iCs/>
        <w:sz w:val="20"/>
      </w:rPr>
      <w:tab/>
    </w:r>
    <w:r>
      <w:rPr>
        <w:rStyle w:val="28"/>
        <w:i/>
        <w:iCs/>
      </w:rPr>
      <w:fldChar w:fldCharType="begin"/>
    </w:r>
    <w:r>
      <w:rPr>
        <w:rStyle w:val="28"/>
        <w:i/>
        <w:iCs/>
      </w:rPr>
      <w:instrText xml:space="preserve"> PAGE </w:instrText>
    </w:r>
    <w:r>
      <w:rPr>
        <w:rStyle w:val="28"/>
        <w:i/>
        <w:iCs/>
      </w:rPr>
      <w:fldChar w:fldCharType="separate"/>
    </w:r>
    <w:r>
      <w:rPr>
        <w:rStyle w:val="28"/>
        <w:i/>
        <w:iCs/>
      </w:rPr>
      <w:t>i</w:t>
    </w:r>
    <w:r>
      <w:rPr>
        <w:rStyle w:val="28"/>
        <w:i/>
        <w:iCs/>
      </w:rPr>
      <w:fldChar w:fldCharType="end"/>
    </w:r>
    <w:r>
      <w:rPr>
        <w:rStyle w:val="28"/>
        <w:i/>
        <w:iCs/>
        <w:sz w:val="20"/>
      </w:rPr>
      <w:tab/>
    </w:r>
    <w:r>
      <w:rPr>
        <w:rStyle w:val="28"/>
        <w:i/>
        <w:iCs/>
        <w:sz w:val="20"/>
      </w:rPr>
      <w:tab/>
    </w:r>
    <w:r>
      <w:rPr>
        <w:rStyle w:val="28"/>
        <w:i/>
        <w:iCs/>
      </w:rPr>
      <w:t>December 31, 2022</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left" w:pos="4395"/>
        <w:tab w:val="right" w:pos="9360"/>
      </w:tabs>
      <w:rPr>
        <w:i/>
        <w:iCs/>
      </w:rPr>
    </w:pPr>
    <w:bookmarkStart w:id="259" w:name="_Hlk112919677"/>
    <w:r>
      <w:rPr>
        <w:i/>
        <w:iCs/>
      </w:rPr>
      <w:t>UNC Chapel Hill</w:t>
    </w:r>
    <w:bookmarkEnd w:id="259"/>
    <w:r>
      <w:rPr>
        <w:i/>
        <w:iCs/>
        <w:sz w:val="20"/>
      </w:rPr>
      <w:tab/>
    </w:r>
    <w:r>
      <w:rPr>
        <w:rStyle w:val="28"/>
      </w:rPr>
      <w:fldChar w:fldCharType="begin"/>
    </w:r>
    <w:r>
      <w:rPr>
        <w:rStyle w:val="28"/>
      </w:rPr>
      <w:instrText xml:space="preserve"> PAGE </w:instrText>
    </w:r>
    <w:r>
      <w:rPr>
        <w:rStyle w:val="28"/>
      </w:rPr>
      <w:fldChar w:fldCharType="separate"/>
    </w:r>
    <w:r>
      <w:rPr>
        <w:rStyle w:val="28"/>
      </w:rPr>
      <w:t>ii</w:t>
    </w:r>
    <w:r>
      <w:rPr>
        <w:rStyle w:val="28"/>
      </w:rPr>
      <w:fldChar w:fldCharType="end"/>
    </w:r>
    <w:r>
      <w:rPr>
        <w:rStyle w:val="28"/>
        <w:i/>
        <w:iCs/>
        <w:sz w:val="20"/>
      </w:rPr>
      <w:tab/>
    </w:r>
    <w:r>
      <w:rPr>
        <w:rStyle w:val="28"/>
        <w:i/>
        <w:iCs/>
        <w:sz w:val="20"/>
      </w:rPr>
      <w:tab/>
    </w:r>
    <w:bookmarkStart w:id="260" w:name="_Hlk112919687"/>
    <w:bookmarkStart w:id="261" w:name="_Hlk112919684"/>
    <w:bookmarkStart w:id="262" w:name="_Hlk112919685"/>
    <w:bookmarkStart w:id="263" w:name="_Hlk112919700"/>
    <w:bookmarkStart w:id="264" w:name="_Hlk112919698"/>
    <w:bookmarkStart w:id="265" w:name="_Hlk112919701"/>
    <w:bookmarkStart w:id="266" w:name="_Hlk112919688"/>
    <w:bookmarkStart w:id="267" w:name="_Hlk112919699"/>
    <w:r>
      <w:rPr>
        <w:rStyle w:val="28"/>
        <w:i/>
        <w:iCs/>
      </w:rPr>
      <w:t>Institute for the Environment</w:t>
    </w:r>
    <w:bookmarkEnd w:id="260"/>
    <w:bookmarkEnd w:id="261"/>
    <w:bookmarkEnd w:id="262"/>
    <w:bookmarkEnd w:id="263"/>
    <w:bookmarkEnd w:id="264"/>
    <w:bookmarkEnd w:id="265"/>
    <w:bookmarkEnd w:id="266"/>
    <w:bookmarkEnd w:id="267"/>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left" w:pos="4395"/>
        <w:tab w:val="right" w:pos="9360"/>
      </w:tabs>
      <w:rPr>
        <w:i/>
        <w:iCs/>
      </w:rPr>
    </w:pPr>
    <w:r>
      <w:rPr>
        <w:sz w:val="18"/>
      </w:rPr>
      <mc:AlternateContent>
        <mc:Choice Requires="wps">
          <w:drawing>
            <wp:anchor distT="0" distB="0" distL="114300" distR="114300" simplePos="0" relativeHeight="251661312" behindDoc="0" locked="0" layoutInCell="1" allowOverlap="1">
              <wp:simplePos x="0" y="0"/>
              <wp:positionH relativeFrom="margin">
                <wp:align>left</wp:align>
              </wp:positionH>
              <wp:positionV relativeFrom="paragraph">
                <wp:posOffset>0</wp:posOffset>
              </wp:positionV>
              <wp:extent cx="1828800" cy="182880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17"/>
                            <w:tabs>
                              <w:tab w:val="left" w:pos="4395"/>
                              <w:tab w:val="right" w:pos="9360"/>
                            </w:tabs>
                          </w:pPr>
                          <w:r>
                            <w:rPr>
                              <w:i/>
                              <w:iCs/>
                            </w:rPr>
                            <w:t>UNC Chapel Hill</w:t>
                          </w:r>
                          <w:r>
                            <w:rPr>
                              <w:i/>
                              <w:iCs/>
                              <w:sz w:val="20"/>
                            </w:rPr>
                            <w:tab/>
                          </w:r>
                          <w:r>
                            <w:rPr>
                              <w:rStyle w:val="28"/>
                            </w:rPr>
                            <w:fldChar w:fldCharType="begin"/>
                          </w:r>
                          <w:r>
                            <w:rPr>
                              <w:rStyle w:val="28"/>
                            </w:rPr>
                            <w:instrText xml:space="preserve"> PAGE </w:instrText>
                          </w:r>
                          <w:r>
                            <w:rPr>
                              <w:rStyle w:val="28"/>
                            </w:rPr>
                            <w:fldChar w:fldCharType="separate"/>
                          </w:r>
                          <w:r>
                            <w:rPr>
                              <w:rStyle w:val="28"/>
                            </w:rPr>
                            <w:t>ii</w:t>
                          </w:r>
                          <w:r>
                            <w:rPr>
                              <w:rStyle w:val="28"/>
                            </w:rPr>
                            <w:fldChar w:fldCharType="end"/>
                          </w:r>
                          <w:r>
                            <w:rPr>
                              <w:rStyle w:val="28"/>
                              <w:i/>
                              <w:iCs/>
                              <w:sz w:val="20"/>
                            </w:rPr>
                            <w:tab/>
                          </w:r>
                          <w:r>
                            <w:rPr>
                              <w:rStyle w:val="28"/>
                              <w:i/>
                              <w:iCs/>
                              <w:sz w:val="20"/>
                            </w:rPr>
                            <w:tab/>
                          </w:r>
                          <w:r>
                            <w:rPr>
                              <w:rStyle w:val="28"/>
                              <w:i/>
                              <w:iCs/>
                            </w:rPr>
                            <w:t>Institute for the Environment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lef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s0lY7tAAAAAFAQAADwAAAAAAAAABACAAAAAiAAAAZHJzL2Rvd25yZXYueG1sUEsBAhQA&#10;FAAAAAgAh07iQLNRnmXeAgAAJgYAAA4AAAAAAAAAAQAgAAAAHwEAAGRycy9lMm9Eb2MueG1sUEsF&#10;BgAAAAAGAAYAWQEAAG8GAAAAAA==&#10;">
              <v:fill on="f" focussize="0,0"/>
              <v:stroke on="f" weight="0.5pt"/>
              <v:imagedata o:title=""/>
              <o:lock v:ext="edit" aspectratio="f"/>
              <v:textbox inset="0mm,0mm,0mm,0mm" style="mso-fit-shape-to-text:t;">
                <w:txbxContent>
                  <w:p>
                    <w:pPr>
                      <w:pStyle w:val="17"/>
                      <w:tabs>
                        <w:tab w:val="left" w:pos="4395"/>
                        <w:tab w:val="right" w:pos="9360"/>
                      </w:tabs>
                    </w:pPr>
                    <w:r>
                      <w:rPr>
                        <w:i/>
                        <w:iCs/>
                      </w:rPr>
                      <w:t>UNC Chapel Hill</w:t>
                    </w:r>
                    <w:r>
                      <w:rPr>
                        <w:i/>
                        <w:iCs/>
                        <w:sz w:val="20"/>
                      </w:rPr>
                      <w:tab/>
                    </w:r>
                    <w:r>
                      <w:rPr>
                        <w:rStyle w:val="28"/>
                      </w:rPr>
                      <w:fldChar w:fldCharType="begin"/>
                    </w:r>
                    <w:r>
                      <w:rPr>
                        <w:rStyle w:val="28"/>
                      </w:rPr>
                      <w:instrText xml:space="preserve"> PAGE </w:instrText>
                    </w:r>
                    <w:r>
                      <w:rPr>
                        <w:rStyle w:val="28"/>
                      </w:rPr>
                      <w:fldChar w:fldCharType="separate"/>
                    </w:r>
                    <w:r>
                      <w:rPr>
                        <w:rStyle w:val="28"/>
                      </w:rPr>
                      <w:t>ii</w:t>
                    </w:r>
                    <w:r>
                      <w:rPr>
                        <w:rStyle w:val="28"/>
                      </w:rPr>
                      <w:fldChar w:fldCharType="end"/>
                    </w:r>
                    <w:r>
                      <w:rPr>
                        <w:rStyle w:val="28"/>
                        <w:i/>
                        <w:iCs/>
                        <w:sz w:val="20"/>
                      </w:rPr>
                      <w:tab/>
                    </w:r>
                    <w:r>
                      <w:rPr>
                        <w:rStyle w:val="28"/>
                        <w:i/>
                        <w:iCs/>
                        <w:sz w:val="20"/>
                      </w:rPr>
                      <w:tab/>
                    </w:r>
                    <w:r>
                      <w:rPr>
                        <w:rStyle w:val="28"/>
                        <w:i/>
                        <w:iCs/>
                      </w:rPr>
                      <w:t>Institute for the Environment</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left" w:pos="4395"/>
        <w:tab w:val="right" w:pos="9360"/>
      </w:tabs>
      <w:rPr>
        <w:i/>
        <w:iCs/>
      </w:rPr>
    </w:pPr>
    <w:r>
      <w:rPr>
        <w:i/>
        <w:iCs/>
      </w:rPr>
      <w:t>UNC Chapel Hill</w:t>
    </w:r>
    <w:r>
      <w:rPr>
        <w:i/>
        <w:iCs/>
        <w:sz w:val="20"/>
      </w:rPr>
      <w:tab/>
    </w:r>
    <w:r>
      <w:rPr>
        <w:rStyle w:val="28"/>
      </w:rPr>
      <w:fldChar w:fldCharType="begin"/>
    </w:r>
    <w:r>
      <w:rPr>
        <w:rStyle w:val="28"/>
      </w:rPr>
      <w:instrText xml:space="preserve"> PAGE </w:instrText>
    </w:r>
    <w:r>
      <w:rPr>
        <w:rStyle w:val="28"/>
      </w:rPr>
      <w:fldChar w:fldCharType="separate"/>
    </w:r>
    <w:r>
      <w:rPr>
        <w:rStyle w:val="28"/>
      </w:rPr>
      <w:t>ii</w:t>
    </w:r>
    <w:r>
      <w:rPr>
        <w:rStyle w:val="28"/>
      </w:rPr>
      <w:fldChar w:fldCharType="end"/>
    </w:r>
    <w:r>
      <w:rPr>
        <w:rStyle w:val="28"/>
        <w:i/>
        <w:iCs/>
        <w:sz w:val="20"/>
      </w:rPr>
      <w:tab/>
    </w:r>
    <w:r>
      <w:rPr>
        <w:rStyle w:val="28"/>
        <w:i/>
        <w:iCs/>
        <w:sz w:val="20"/>
      </w:rPr>
      <w:tab/>
    </w:r>
    <w:r>
      <w:rPr>
        <w:rStyle w:val="28"/>
        <w:i/>
        <w:iCs/>
      </w:rPr>
      <w:t>Institute for the Environment</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rPr>
        <w:b/>
        <w:sz w:val="28"/>
        <w:szCs w:val="32"/>
      </w:rPr>
      <w:drawing>
        <wp:anchor distT="0" distB="0" distL="114300" distR="114300" simplePos="0" relativeHeight="251660288" behindDoc="0" locked="0" layoutInCell="1" allowOverlap="1">
          <wp:simplePos x="0" y="0"/>
          <wp:positionH relativeFrom="margin">
            <wp:align>left</wp:align>
          </wp:positionH>
          <wp:positionV relativeFrom="paragraph">
            <wp:posOffset>-114935</wp:posOffset>
          </wp:positionV>
          <wp:extent cx="2276475" cy="324485"/>
          <wp:effectExtent l="0" t="0" r="9525" b="0"/>
          <wp:wrapSquare wrapText="bothSides"/>
          <wp:docPr id="3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6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276475" cy="324485"/>
                  </a:xfrm>
                  <a:prstGeom prst="rect">
                    <a:avLst/>
                  </a:prstGeom>
                </pic:spPr>
              </pic:pic>
            </a:graphicData>
          </a:graphic>
        </wp:anchor>
      </w:drawing>
    </w:r>
  </w:p>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rPr>
        <w:i/>
        <w:sz w:val="20"/>
        <w:szCs w:val="20"/>
      </w:rPr>
      <w:t xml:space="preserve">User’s Manual for FAST-CE 3.2 </w:t>
    </w:r>
    <w:r>
      <w:rPr>
        <w:i/>
        <w:sz w:val="20"/>
        <w:szCs w:val="20"/>
      </w:rPr>
      <w:tab/>
    </w:r>
    <w:r>
      <w:rPr>
        <w:i/>
        <w:sz w:val="20"/>
        <w:szCs w:val="20"/>
      </w:rPr>
      <w:tab/>
    </w:r>
    <w:r>
      <w:rPr>
        <w:i/>
        <w:sz w:val="20"/>
        <w:szCs w:val="20"/>
      </w:rPr>
      <w:tab/>
    </w:r>
    <w:r>
      <w:rPr>
        <w:i/>
        <w:sz w:val="20"/>
        <w:szCs w:val="20"/>
      </w:rPr>
      <w:tab/>
    </w:r>
    <w:r>
      <w:rPr>
        <w:i/>
        <w:sz w:val="20"/>
        <w:szCs w:val="20"/>
      </w:rPr>
      <w:tab/>
    </w:r>
    <w:r>
      <w:rPr>
        <w:i/>
        <w:sz w:val="20"/>
        <w:szCs w:val="20"/>
      </w:rPr>
      <w:tab/>
    </w:r>
    <w:r>
      <w:rPr>
        <w:i/>
        <w:sz w:val="20"/>
        <w:szCs w:val="20"/>
      </w:rPr>
      <w:t>EPA Task Order: 68HERH21F0334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3DE0011"/>
    <w:multiLevelType w:val="singleLevel"/>
    <w:tmpl w:val="03DE0011"/>
    <w:lvl w:ilvl="0" w:tentative="0">
      <w:start w:val="1"/>
      <w:numFmt w:val="bullet"/>
      <w:lvlText w:val="Ø"/>
      <w:lvlJc w:val="left"/>
      <w:pPr>
        <w:ind w:left="435" w:hanging="195"/>
      </w:pPr>
      <w:rPr>
        <w:rFonts w:ascii="Wingdings" w:hAnsi="Wingdings"/>
        <w:color w:val="000000"/>
        <w:sz w:val="24"/>
      </w:rPr>
    </w:lvl>
  </w:abstractNum>
  <w:abstractNum w:abstractNumId="1">
    <w:nsid w:val="13AF62BB"/>
    <w:multiLevelType w:val="singleLevel"/>
    <w:tmpl w:val="13AF62BB"/>
    <w:lvl w:ilvl="0" w:tentative="0">
      <w:start w:val="1"/>
      <w:numFmt w:val="upperRoman"/>
      <w:lvlText w:val="%1."/>
      <w:lvlJc w:val="left"/>
      <w:pPr>
        <w:ind w:left="1035" w:hanging="300"/>
      </w:pPr>
      <w:rPr>
        <w:rFonts w:ascii="Times New Roman" w:hAnsi="Times New Roman"/>
        <w:color w:val="000000"/>
        <w:sz w:val="24"/>
      </w:rPr>
    </w:lvl>
  </w:abstractNum>
  <w:abstractNum w:abstractNumId="2">
    <w:nsid w:val="18924B65"/>
    <w:multiLevelType w:val="multilevel"/>
    <w:tmpl w:val="18924B65"/>
    <w:lvl w:ilvl="0" w:tentative="0">
      <w:start w:val="1"/>
      <w:numFmt w:val="lowerLetter"/>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2F016A08"/>
    <w:multiLevelType w:val="multilevel"/>
    <w:tmpl w:val="2F016A08"/>
    <w:lvl w:ilvl="0" w:tentative="0">
      <w:start w:val="1"/>
      <w:numFmt w:val="decimal"/>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2F2F5B7A"/>
    <w:multiLevelType w:val="multilevel"/>
    <w:tmpl w:val="2F2F5B7A"/>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35B2368A"/>
    <w:multiLevelType w:val="multilevel"/>
    <w:tmpl w:val="35B2368A"/>
    <w:lvl w:ilvl="0" w:tentative="0">
      <w:start w:val="1"/>
      <w:numFmt w:val="decimal"/>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
    <w:nsid w:val="3C4F574D"/>
    <w:multiLevelType w:val="multilevel"/>
    <w:tmpl w:val="3C4F574D"/>
    <w:lvl w:ilvl="0" w:tentative="0">
      <w:start w:val="1"/>
      <w:numFmt w:val="bullet"/>
      <w:pStyle w:val="65"/>
      <w:lvlText w:val=""/>
      <w:lvlJc w:val="left"/>
      <w:pPr>
        <w:ind w:left="561"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
    <w:nsid w:val="548B16C6"/>
    <w:multiLevelType w:val="multilevel"/>
    <w:tmpl w:val="548B16C6"/>
    <w:lvl w:ilvl="0" w:tentative="0">
      <w:start w:val="1"/>
      <w:numFmt w:val="decimal"/>
      <w:lvlText w:val="(%1)"/>
      <w:lvlJc w:val="left"/>
      <w:pPr>
        <w:ind w:left="540" w:hanging="300"/>
      </w:pPr>
      <w:rPr>
        <w:rFonts w:ascii="Times New Roman" w:hAnsi="Times New Roman"/>
        <w:color w:val="000000"/>
        <w:sz w:val="24"/>
      </w:rPr>
    </w:lvl>
    <w:lvl w:ilvl="1" w:tentative="0">
      <w:start w:val="1"/>
      <w:numFmt w:val="decimal"/>
      <w:lvlText w:val="%2)"/>
      <w:lvlJc w:val="left"/>
      <w:pPr>
        <w:ind w:left="840" w:hanging="300"/>
      </w:pPr>
      <w:rPr>
        <w:rFonts w:ascii="Times New Roman" w:hAnsi="Times New Roman"/>
        <w:color w:val="000000"/>
        <w:sz w:val="24"/>
      </w:rPr>
    </w:lvl>
    <w:lvl w:ilvl="2" w:tentative="0">
      <w:start w:val="1"/>
      <w:numFmt w:val="decimal"/>
      <w:lvlText w:val="%2)"/>
      <w:lvlJc w:val="left"/>
      <w:pPr>
        <w:ind w:left="840" w:hanging="300"/>
      </w:pPr>
      <w:rPr>
        <w:rFonts w:ascii="Times New Roman" w:hAnsi="Times New Roman"/>
        <w:color w:val="000000"/>
        <w:sz w:val="24"/>
      </w:rPr>
    </w:lvl>
    <w:lvl w:ilvl="3" w:tentative="0">
      <w:start w:val="1"/>
      <w:numFmt w:val="decimal"/>
      <w:lvlText w:val="%2)"/>
      <w:lvlJc w:val="left"/>
      <w:pPr>
        <w:ind w:left="840" w:hanging="300"/>
      </w:pPr>
      <w:rPr>
        <w:rFonts w:ascii="Times New Roman" w:hAnsi="Times New Roman"/>
        <w:color w:val="000000"/>
        <w:sz w:val="24"/>
      </w:rPr>
    </w:lvl>
    <w:lvl w:ilvl="4" w:tentative="0">
      <w:start w:val="1"/>
      <w:numFmt w:val="decimal"/>
      <w:lvlText w:val="%2)"/>
      <w:lvlJc w:val="left"/>
      <w:pPr>
        <w:ind w:left="840" w:hanging="300"/>
      </w:pPr>
      <w:rPr>
        <w:rFonts w:ascii="Times New Roman" w:hAnsi="Times New Roman"/>
        <w:color w:val="000000"/>
        <w:sz w:val="24"/>
      </w:rPr>
    </w:lvl>
    <w:lvl w:ilvl="5" w:tentative="0">
      <w:start w:val="1"/>
      <w:numFmt w:val="decimal"/>
      <w:lvlText w:val="%2)"/>
      <w:lvlJc w:val="left"/>
      <w:pPr>
        <w:ind w:left="840" w:hanging="300"/>
      </w:pPr>
      <w:rPr>
        <w:rFonts w:ascii="Times New Roman" w:hAnsi="Times New Roman"/>
        <w:color w:val="000000"/>
        <w:sz w:val="24"/>
      </w:rPr>
    </w:lvl>
    <w:lvl w:ilvl="6" w:tentative="0">
      <w:start w:val="1"/>
      <w:numFmt w:val="decimal"/>
      <w:lvlText w:val="%2)"/>
      <w:lvlJc w:val="left"/>
      <w:pPr>
        <w:ind w:left="840" w:hanging="300"/>
      </w:pPr>
      <w:rPr>
        <w:rFonts w:ascii="Times New Roman" w:hAnsi="Times New Roman"/>
        <w:color w:val="000000"/>
        <w:sz w:val="24"/>
      </w:rPr>
    </w:lvl>
    <w:lvl w:ilvl="7" w:tentative="0">
      <w:start w:val="1"/>
      <w:numFmt w:val="decimal"/>
      <w:lvlText w:val="%2)"/>
      <w:lvlJc w:val="left"/>
      <w:pPr>
        <w:ind w:left="840" w:hanging="300"/>
      </w:pPr>
      <w:rPr>
        <w:rFonts w:ascii="Times New Roman" w:hAnsi="Times New Roman"/>
        <w:color w:val="000000"/>
        <w:sz w:val="24"/>
      </w:rPr>
    </w:lvl>
    <w:lvl w:ilvl="8" w:tentative="0">
      <w:start w:val="1"/>
      <w:numFmt w:val="decimal"/>
      <w:lvlText w:val="%2)"/>
      <w:lvlJc w:val="left"/>
      <w:pPr>
        <w:ind w:left="840" w:hanging="300"/>
      </w:pPr>
      <w:rPr>
        <w:rFonts w:ascii="Times New Roman" w:hAnsi="Times New Roman"/>
        <w:color w:val="000000"/>
        <w:sz w:val="24"/>
      </w:rPr>
    </w:lvl>
  </w:abstractNum>
  <w:abstractNum w:abstractNumId="8">
    <w:nsid w:val="677E1819"/>
    <w:multiLevelType w:val="multilevel"/>
    <w:tmpl w:val="677E181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692205BB"/>
    <w:multiLevelType w:val="multilevel"/>
    <w:tmpl w:val="692205BB"/>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723061AB"/>
    <w:multiLevelType w:val="multilevel"/>
    <w:tmpl w:val="723061AB"/>
    <w:lvl w:ilvl="0" w:tentative="0">
      <w:start w:val="1"/>
      <w:numFmt w:val="decimal"/>
      <w:lvlText w:val="%1"/>
      <w:lvlJc w:val="left"/>
      <w:pPr>
        <w:ind w:left="425" w:hanging="425"/>
      </w:p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1">
    <w:nsid w:val="72EA5481"/>
    <w:multiLevelType w:val="multilevel"/>
    <w:tmpl w:val="72EA5481"/>
    <w:lvl w:ilvl="0" w:tentative="0">
      <w:start w:val="1"/>
      <w:numFmt w:val="decimal"/>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2">
    <w:nsid w:val="77802AAF"/>
    <w:multiLevelType w:val="multilevel"/>
    <w:tmpl w:val="77802AAF"/>
    <w:lvl w:ilvl="0" w:tentative="0">
      <w:start w:val="1"/>
      <w:numFmt w:val="decimal"/>
      <w:lvlText w:val="(%1)"/>
      <w:lvlJc w:val="left"/>
      <w:pPr>
        <w:ind w:left="900" w:hanging="42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3">
    <w:nsid w:val="797A1886"/>
    <w:multiLevelType w:val="multilevel"/>
    <w:tmpl w:val="797A1886"/>
    <w:lvl w:ilvl="0" w:tentative="0">
      <w:start w:val="1"/>
      <w:numFmt w:val="decimal"/>
      <w:lvlText w:val="%1."/>
      <w:lvlJc w:val="left"/>
      <w:pPr>
        <w:ind w:left="660" w:hanging="420"/>
      </w:pPr>
    </w:lvl>
    <w:lvl w:ilvl="1" w:tentative="0">
      <w:start w:val="1"/>
      <w:numFmt w:val="lowerLetter"/>
      <w:lvlText w:val="%2)"/>
      <w:lvlJc w:val="left"/>
      <w:pPr>
        <w:ind w:left="1080" w:hanging="420"/>
      </w:pPr>
    </w:lvl>
    <w:lvl w:ilvl="2" w:tentative="0">
      <w:start w:val="1"/>
      <w:numFmt w:val="lowerRoman"/>
      <w:lvlText w:val="%3."/>
      <w:lvlJc w:val="right"/>
      <w:pPr>
        <w:ind w:left="1500" w:hanging="420"/>
      </w:pPr>
    </w:lvl>
    <w:lvl w:ilvl="3" w:tentative="0">
      <w:start w:val="1"/>
      <w:numFmt w:val="decimal"/>
      <w:lvlText w:val="%4."/>
      <w:lvlJc w:val="left"/>
      <w:pPr>
        <w:ind w:left="1920" w:hanging="420"/>
      </w:pPr>
    </w:lvl>
    <w:lvl w:ilvl="4" w:tentative="0">
      <w:start w:val="1"/>
      <w:numFmt w:val="lowerLetter"/>
      <w:lvlText w:val="%5)"/>
      <w:lvlJc w:val="left"/>
      <w:pPr>
        <w:ind w:left="2340" w:hanging="420"/>
      </w:pPr>
    </w:lvl>
    <w:lvl w:ilvl="5" w:tentative="0">
      <w:start w:val="1"/>
      <w:numFmt w:val="lowerRoman"/>
      <w:lvlText w:val="%6."/>
      <w:lvlJc w:val="right"/>
      <w:pPr>
        <w:ind w:left="2760" w:hanging="420"/>
      </w:pPr>
    </w:lvl>
    <w:lvl w:ilvl="6" w:tentative="0">
      <w:start w:val="1"/>
      <w:numFmt w:val="decimal"/>
      <w:lvlText w:val="%7."/>
      <w:lvlJc w:val="left"/>
      <w:pPr>
        <w:ind w:left="3180" w:hanging="420"/>
      </w:pPr>
    </w:lvl>
    <w:lvl w:ilvl="7" w:tentative="0">
      <w:start w:val="1"/>
      <w:numFmt w:val="lowerLetter"/>
      <w:lvlText w:val="%8)"/>
      <w:lvlJc w:val="left"/>
      <w:pPr>
        <w:ind w:left="3600" w:hanging="420"/>
      </w:pPr>
    </w:lvl>
    <w:lvl w:ilvl="8" w:tentative="0">
      <w:start w:val="1"/>
      <w:numFmt w:val="lowerRoman"/>
      <w:lvlText w:val="%9."/>
      <w:lvlJc w:val="right"/>
      <w:pPr>
        <w:ind w:left="4020" w:hanging="420"/>
      </w:pPr>
    </w:lvl>
  </w:abstractNum>
  <w:abstractNum w:abstractNumId="14">
    <w:nsid w:val="7A2F2668"/>
    <w:multiLevelType w:val="multilevel"/>
    <w:tmpl w:val="7A2F2668"/>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5">
    <w:nsid w:val="7C006336"/>
    <w:multiLevelType w:val="singleLevel"/>
    <w:tmpl w:val="7C006336"/>
    <w:lvl w:ilvl="0" w:tentative="0">
      <w:start w:val="1"/>
      <w:numFmt w:val="bullet"/>
      <w:lvlText w:val="Ø"/>
      <w:lvlJc w:val="left"/>
      <w:pPr>
        <w:ind w:left="495" w:hanging="240"/>
      </w:pPr>
      <w:rPr>
        <w:rFonts w:ascii="Wingdings" w:hAnsi="Wingdings"/>
        <w:color w:val="000000"/>
        <w:sz w:val="24"/>
      </w:rPr>
    </w:lvl>
  </w:abstractNum>
  <w:abstractNum w:abstractNumId="16">
    <w:nsid w:val="7FAD73E6"/>
    <w:multiLevelType w:val="multilevel"/>
    <w:tmpl w:val="7FAD73E6"/>
    <w:lvl w:ilvl="0" w:tentative="0">
      <w:start w:val="1"/>
      <w:numFmt w:val="decimal"/>
      <w:pStyle w:val="2"/>
      <w:lvlText w:val="%1"/>
      <w:lvlJc w:val="left"/>
      <w:pPr>
        <w:ind w:left="432" w:hanging="432"/>
      </w:pPr>
    </w:lvl>
    <w:lvl w:ilvl="1" w:tentative="0">
      <w:start w:val="1"/>
      <w:numFmt w:val="decimal"/>
      <w:pStyle w:val="3"/>
      <w:lvlText w:val="%1.%2"/>
      <w:lvlJc w:val="left"/>
      <w:pPr>
        <w:ind w:left="576" w:hanging="576"/>
      </w:pPr>
    </w:lvl>
    <w:lvl w:ilvl="2" w:tentative="0">
      <w:start w:val="1"/>
      <w:numFmt w:val="decimal"/>
      <w:pStyle w:val="4"/>
      <w:lvlText w:val="%1.%2.%3"/>
      <w:lvlJc w:val="left"/>
      <w:pPr>
        <w:ind w:left="720" w:hanging="720"/>
      </w:pPr>
      <w:rPr>
        <w:lang w:bidi="zh-CN"/>
      </w:rPr>
    </w:lvl>
    <w:lvl w:ilvl="3" w:tentative="0">
      <w:start w:val="1"/>
      <w:numFmt w:val="decimal"/>
      <w:pStyle w:val="5"/>
      <w:lvlText w:val="%1.%2.%3.%4"/>
      <w:lvlJc w:val="left"/>
      <w:pPr>
        <w:ind w:left="864" w:hanging="864"/>
      </w:pPr>
    </w:lvl>
    <w:lvl w:ilvl="4" w:tentative="0">
      <w:start w:val="1"/>
      <w:numFmt w:val="decimal"/>
      <w:pStyle w:val="6"/>
      <w:lvlText w:val="%1.%2.%3.%4.%5"/>
      <w:lvlJc w:val="left"/>
      <w:pPr>
        <w:ind w:left="1008" w:hanging="1008"/>
      </w:pPr>
    </w:lvl>
    <w:lvl w:ilvl="5" w:tentative="0">
      <w:start w:val="1"/>
      <w:numFmt w:val="decimal"/>
      <w:pStyle w:val="7"/>
      <w:lvlText w:val="%1.%2.%3.%4.%5.%6"/>
      <w:lvlJc w:val="left"/>
      <w:pPr>
        <w:ind w:left="1152" w:hanging="1152"/>
      </w:pPr>
    </w:lvl>
    <w:lvl w:ilvl="6" w:tentative="0">
      <w:start w:val="1"/>
      <w:numFmt w:val="decimal"/>
      <w:pStyle w:val="8"/>
      <w:lvlText w:val="%1.%2.%3.%4.%5.%6.%7"/>
      <w:lvlJc w:val="left"/>
      <w:pPr>
        <w:ind w:left="1296" w:hanging="1296"/>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num w:numId="1">
    <w:abstractNumId w:val="16"/>
  </w:num>
  <w:num w:numId="2">
    <w:abstractNumId w:val="6"/>
  </w:num>
  <w:num w:numId="3">
    <w:abstractNumId w:val="10"/>
  </w:num>
  <w:num w:numId="4">
    <w:abstractNumId w:val="4"/>
  </w:num>
  <w:num w:numId="5">
    <w:abstractNumId w:val="12"/>
  </w:num>
  <w:num w:numId="6">
    <w:abstractNumId w:val="14"/>
  </w:num>
  <w:num w:numId="7">
    <w:abstractNumId w:val="5"/>
  </w:num>
  <w:num w:numId="8">
    <w:abstractNumId w:val="8"/>
  </w:num>
  <w:num w:numId="9">
    <w:abstractNumId w:val="9"/>
  </w:num>
  <w:num w:numId="10">
    <w:abstractNumId w:val="15"/>
  </w:num>
  <w:num w:numId="11">
    <w:abstractNumId w:val="0"/>
  </w:num>
  <w:num w:numId="12">
    <w:abstractNumId w:val="11"/>
  </w:num>
  <w:num w:numId="13">
    <w:abstractNumId w:val="2"/>
  </w:num>
  <w:num w:numId="14">
    <w:abstractNumId w:val="7"/>
    <w:lvlOverride w:ilvl="0">
      <w:startOverride w:val="1"/>
    </w:lvlOverride>
    <w:lvlOverride w:ilvl="1">
      <w:startOverride w:val="1"/>
    </w:lvlOverride>
  </w:num>
  <w:num w:numId="15">
    <w:abstractNumId w:val="1"/>
    <w:lvlOverride w:ilvl="0">
      <w:startOverride w:val="1"/>
    </w:lvlOverride>
  </w:num>
  <w:num w:numId="16">
    <w:abstractNumId w:val="3"/>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rcwMjA2NzEysjAxMbBU0lEKTi0uzszPAykwrgUAWQrOhywAAAA="/>
    <w:docVar w:name="commondata" w:val="eyJoZGlkIjoiNWUyMTQzNDYyY2Y3NWJlNmU2ZjY3YzQ0MWZiMDMxNWMifQ=="/>
    <w:docVar w:name="EN.InstantFormat" w:val="&lt;ENInstantFormat&gt;&lt;Enabled&gt;1&lt;/Enabled&gt;&lt;ScanUnformatted&gt;1&lt;/ScanUnformatted&gt;&lt;ScanChanges&gt;1&lt;/ScanChanges&gt;&lt;Suspended&gt;1&lt;/Suspended&gt;&lt;/ENInstantFormat&gt;"/>
    <w:docVar w:name="EN.Layout" w:val="&lt;ENLayout&gt;&lt;Style&gt;Author-Dat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9pz0da5tve9r5devvrg5rv9qws2zz0tavrx0&quot;&gt;我的EndNote库&lt;record-ids&gt;&lt;item&gt;358&lt;/item&gt;&lt;item&gt;360&lt;/item&gt;&lt;item&gt;361&lt;/item&gt;&lt;item&gt;362&lt;/item&gt;&lt;item&gt;363&lt;/item&gt;&lt;item&gt;364&lt;/item&gt;&lt;/record-ids&gt;&lt;/item&gt;&lt;/Libraries&gt;"/>
  </w:docVars>
  <w:rsids>
    <w:rsidRoot w:val="0050094C"/>
    <w:rsid w:val="00003A84"/>
    <w:rsid w:val="00006D51"/>
    <w:rsid w:val="000075B5"/>
    <w:rsid w:val="00007721"/>
    <w:rsid w:val="000102BF"/>
    <w:rsid w:val="00014228"/>
    <w:rsid w:val="00015CBD"/>
    <w:rsid w:val="0001670F"/>
    <w:rsid w:val="0002284F"/>
    <w:rsid w:val="00025781"/>
    <w:rsid w:val="00026CAB"/>
    <w:rsid w:val="00027213"/>
    <w:rsid w:val="00032B62"/>
    <w:rsid w:val="0003630D"/>
    <w:rsid w:val="000402A8"/>
    <w:rsid w:val="00041E3D"/>
    <w:rsid w:val="00042956"/>
    <w:rsid w:val="00043278"/>
    <w:rsid w:val="00043622"/>
    <w:rsid w:val="00045C00"/>
    <w:rsid w:val="00047775"/>
    <w:rsid w:val="00047AFA"/>
    <w:rsid w:val="000552F7"/>
    <w:rsid w:val="00057A1E"/>
    <w:rsid w:val="00057D4F"/>
    <w:rsid w:val="00062948"/>
    <w:rsid w:val="00062EAE"/>
    <w:rsid w:val="00063086"/>
    <w:rsid w:val="0006491F"/>
    <w:rsid w:val="00065118"/>
    <w:rsid w:val="00067148"/>
    <w:rsid w:val="000809D5"/>
    <w:rsid w:val="00084618"/>
    <w:rsid w:val="00087442"/>
    <w:rsid w:val="00092A7E"/>
    <w:rsid w:val="00095DC0"/>
    <w:rsid w:val="000A2999"/>
    <w:rsid w:val="000A501F"/>
    <w:rsid w:val="000A5790"/>
    <w:rsid w:val="000A5DCE"/>
    <w:rsid w:val="000B43B3"/>
    <w:rsid w:val="000C1D85"/>
    <w:rsid w:val="000C613B"/>
    <w:rsid w:val="000C7271"/>
    <w:rsid w:val="000D1F49"/>
    <w:rsid w:val="000D7DA9"/>
    <w:rsid w:val="000E34F3"/>
    <w:rsid w:val="000E53A8"/>
    <w:rsid w:val="000E599E"/>
    <w:rsid w:val="000F3CCC"/>
    <w:rsid w:val="000F3F0A"/>
    <w:rsid w:val="000F40C7"/>
    <w:rsid w:val="000F59B2"/>
    <w:rsid w:val="000F6366"/>
    <w:rsid w:val="0010042C"/>
    <w:rsid w:val="00104CAF"/>
    <w:rsid w:val="00107F2D"/>
    <w:rsid w:val="0011259A"/>
    <w:rsid w:val="00113ADD"/>
    <w:rsid w:val="00114924"/>
    <w:rsid w:val="00114C47"/>
    <w:rsid w:val="00115E81"/>
    <w:rsid w:val="001161D5"/>
    <w:rsid w:val="0012044B"/>
    <w:rsid w:val="00120C3D"/>
    <w:rsid w:val="00121974"/>
    <w:rsid w:val="00133BEC"/>
    <w:rsid w:val="0013669D"/>
    <w:rsid w:val="00136970"/>
    <w:rsid w:val="001403F9"/>
    <w:rsid w:val="00142276"/>
    <w:rsid w:val="00142524"/>
    <w:rsid w:val="00143ED8"/>
    <w:rsid w:val="00144933"/>
    <w:rsid w:val="00145A51"/>
    <w:rsid w:val="001475FA"/>
    <w:rsid w:val="001524F9"/>
    <w:rsid w:val="00153A2F"/>
    <w:rsid w:val="00155890"/>
    <w:rsid w:val="00160E3A"/>
    <w:rsid w:val="0016116C"/>
    <w:rsid w:val="00163A43"/>
    <w:rsid w:val="001666DA"/>
    <w:rsid w:val="001669E0"/>
    <w:rsid w:val="001670C2"/>
    <w:rsid w:val="00170342"/>
    <w:rsid w:val="001712D1"/>
    <w:rsid w:val="00176239"/>
    <w:rsid w:val="00177A41"/>
    <w:rsid w:val="001828BA"/>
    <w:rsid w:val="00187314"/>
    <w:rsid w:val="00190EED"/>
    <w:rsid w:val="00192AF4"/>
    <w:rsid w:val="0019522F"/>
    <w:rsid w:val="00196154"/>
    <w:rsid w:val="001969F4"/>
    <w:rsid w:val="001B1D08"/>
    <w:rsid w:val="001B28C4"/>
    <w:rsid w:val="001C271E"/>
    <w:rsid w:val="001C7522"/>
    <w:rsid w:val="001D0D24"/>
    <w:rsid w:val="001D33E5"/>
    <w:rsid w:val="001D4BC9"/>
    <w:rsid w:val="001D5C95"/>
    <w:rsid w:val="001E0CE0"/>
    <w:rsid w:val="001E0DEE"/>
    <w:rsid w:val="001E1936"/>
    <w:rsid w:val="001E4B66"/>
    <w:rsid w:val="001F7C4E"/>
    <w:rsid w:val="00200D08"/>
    <w:rsid w:val="00201880"/>
    <w:rsid w:val="00203C39"/>
    <w:rsid w:val="00205C9E"/>
    <w:rsid w:val="0020623C"/>
    <w:rsid w:val="00207078"/>
    <w:rsid w:val="002073F9"/>
    <w:rsid w:val="002123E0"/>
    <w:rsid w:val="00217036"/>
    <w:rsid w:val="0022028C"/>
    <w:rsid w:val="002222CC"/>
    <w:rsid w:val="00224376"/>
    <w:rsid w:val="002305AF"/>
    <w:rsid w:val="0023147B"/>
    <w:rsid w:val="00241113"/>
    <w:rsid w:val="00241E74"/>
    <w:rsid w:val="00243E5B"/>
    <w:rsid w:val="00246D35"/>
    <w:rsid w:val="002502F3"/>
    <w:rsid w:val="002550CB"/>
    <w:rsid w:val="002571C5"/>
    <w:rsid w:val="00260C85"/>
    <w:rsid w:val="00261868"/>
    <w:rsid w:val="0026371B"/>
    <w:rsid w:val="00264761"/>
    <w:rsid w:val="00265B3C"/>
    <w:rsid w:val="00267E17"/>
    <w:rsid w:val="00271EDC"/>
    <w:rsid w:val="00273697"/>
    <w:rsid w:val="00275B8E"/>
    <w:rsid w:val="00277AFF"/>
    <w:rsid w:val="00280D0C"/>
    <w:rsid w:val="00281028"/>
    <w:rsid w:val="00284663"/>
    <w:rsid w:val="00284F7A"/>
    <w:rsid w:val="0028757C"/>
    <w:rsid w:val="002907A3"/>
    <w:rsid w:val="002A14DB"/>
    <w:rsid w:val="002A2DBF"/>
    <w:rsid w:val="002A4072"/>
    <w:rsid w:val="002A5CB1"/>
    <w:rsid w:val="002B3ED7"/>
    <w:rsid w:val="002B491A"/>
    <w:rsid w:val="002B6B3F"/>
    <w:rsid w:val="002B7316"/>
    <w:rsid w:val="002C076E"/>
    <w:rsid w:val="002C1D3A"/>
    <w:rsid w:val="002C2A91"/>
    <w:rsid w:val="002C48D1"/>
    <w:rsid w:val="002C5465"/>
    <w:rsid w:val="002C7F0C"/>
    <w:rsid w:val="002D6D30"/>
    <w:rsid w:val="002E41C9"/>
    <w:rsid w:val="002E73E9"/>
    <w:rsid w:val="002F2E78"/>
    <w:rsid w:val="002F55C5"/>
    <w:rsid w:val="002F752F"/>
    <w:rsid w:val="002F7684"/>
    <w:rsid w:val="002F7DEF"/>
    <w:rsid w:val="003000A0"/>
    <w:rsid w:val="00301FB8"/>
    <w:rsid w:val="00302158"/>
    <w:rsid w:val="00307D4C"/>
    <w:rsid w:val="00310FB0"/>
    <w:rsid w:val="0031124A"/>
    <w:rsid w:val="0031285D"/>
    <w:rsid w:val="00317588"/>
    <w:rsid w:val="003200A0"/>
    <w:rsid w:val="00321C28"/>
    <w:rsid w:val="003225BC"/>
    <w:rsid w:val="003241FC"/>
    <w:rsid w:val="00325332"/>
    <w:rsid w:val="00335A4E"/>
    <w:rsid w:val="003454FC"/>
    <w:rsid w:val="00347C7D"/>
    <w:rsid w:val="003523C2"/>
    <w:rsid w:val="00356695"/>
    <w:rsid w:val="00361401"/>
    <w:rsid w:val="00366940"/>
    <w:rsid w:val="00366DB2"/>
    <w:rsid w:val="003722E4"/>
    <w:rsid w:val="00373713"/>
    <w:rsid w:val="00373EE3"/>
    <w:rsid w:val="00382033"/>
    <w:rsid w:val="003846F3"/>
    <w:rsid w:val="0039194D"/>
    <w:rsid w:val="003A18B1"/>
    <w:rsid w:val="003A1CCF"/>
    <w:rsid w:val="003A6646"/>
    <w:rsid w:val="003A7207"/>
    <w:rsid w:val="003B68EB"/>
    <w:rsid w:val="003C358E"/>
    <w:rsid w:val="003C5202"/>
    <w:rsid w:val="003C7832"/>
    <w:rsid w:val="003D1337"/>
    <w:rsid w:val="003D1E51"/>
    <w:rsid w:val="003D4B83"/>
    <w:rsid w:val="003D5434"/>
    <w:rsid w:val="003D7C53"/>
    <w:rsid w:val="003E1ACC"/>
    <w:rsid w:val="003E7F59"/>
    <w:rsid w:val="003F1351"/>
    <w:rsid w:val="003F3F2A"/>
    <w:rsid w:val="003F3F90"/>
    <w:rsid w:val="00401A60"/>
    <w:rsid w:val="00402219"/>
    <w:rsid w:val="00402AE8"/>
    <w:rsid w:val="00404406"/>
    <w:rsid w:val="004054CB"/>
    <w:rsid w:val="0040589F"/>
    <w:rsid w:val="00406016"/>
    <w:rsid w:val="004118FA"/>
    <w:rsid w:val="0041538D"/>
    <w:rsid w:val="004209EB"/>
    <w:rsid w:val="00422D3C"/>
    <w:rsid w:val="004278C7"/>
    <w:rsid w:val="00427D77"/>
    <w:rsid w:val="00430A25"/>
    <w:rsid w:val="0043290D"/>
    <w:rsid w:val="00440CFC"/>
    <w:rsid w:val="004410BD"/>
    <w:rsid w:val="00442096"/>
    <w:rsid w:val="00446B61"/>
    <w:rsid w:val="00451231"/>
    <w:rsid w:val="0045150F"/>
    <w:rsid w:val="004527CE"/>
    <w:rsid w:val="004547DF"/>
    <w:rsid w:val="004570AB"/>
    <w:rsid w:val="00461575"/>
    <w:rsid w:val="004626EE"/>
    <w:rsid w:val="00463775"/>
    <w:rsid w:val="00463AC2"/>
    <w:rsid w:val="00463C3C"/>
    <w:rsid w:val="0046454F"/>
    <w:rsid w:val="004664B5"/>
    <w:rsid w:val="004709A2"/>
    <w:rsid w:val="00473434"/>
    <w:rsid w:val="0047418F"/>
    <w:rsid w:val="00477D8F"/>
    <w:rsid w:val="004820F9"/>
    <w:rsid w:val="00482103"/>
    <w:rsid w:val="00482FD4"/>
    <w:rsid w:val="00483148"/>
    <w:rsid w:val="0048397B"/>
    <w:rsid w:val="00497B97"/>
    <w:rsid w:val="004A030D"/>
    <w:rsid w:val="004A31BC"/>
    <w:rsid w:val="004A4366"/>
    <w:rsid w:val="004A693B"/>
    <w:rsid w:val="004A7A16"/>
    <w:rsid w:val="004B002C"/>
    <w:rsid w:val="004B065C"/>
    <w:rsid w:val="004B08FA"/>
    <w:rsid w:val="004B5233"/>
    <w:rsid w:val="004B5C29"/>
    <w:rsid w:val="004B6B60"/>
    <w:rsid w:val="004B7298"/>
    <w:rsid w:val="004C141D"/>
    <w:rsid w:val="004C3101"/>
    <w:rsid w:val="004C732B"/>
    <w:rsid w:val="004D1E7B"/>
    <w:rsid w:val="004D3203"/>
    <w:rsid w:val="004D7D24"/>
    <w:rsid w:val="004E1B5E"/>
    <w:rsid w:val="004E30E1"/>
    <w:rsid w:val="004E4DDD"/>
    <w:rsid w:val="004E63CA"/>
    <w:rsid w:val="004E6619"/>
    <w:rsid w:val="004E7675"/>
    <w:rsid w:val="004F2A0B"/>
    <w:rsid w:val="004F2C8E"/>
    <w:rsid w:val="004F424A"/>
    <w:rsid w:val="004F67D1"/>
    <w:rsid w:val="004F6B77"/>
    <w:rsid w:val="0050094C"/>
    <w:rsid w:val="005010F7"/>
    <w:rsid w:val="005111A4"/>
    <w:rsid w:val="00512432"/>
    <w:rsid w:val="005129B3"/>
    <w:rsid w:val="00514FED"/>
    <w:rsid w:val="00515D5D"/>
    <w:rsid w:val="005230FF"/>
    <w:rsid w:val="00524E84"/>
    <w:rsid w:val="00525417"/>
    <w:rsid w:val="005266B0"/>
    <w:rsid w:val="00533C85"/>
    <w:rsid w:val="0053621F"/>
    <w:rsid w:val="005454A7"/>
    <w:rsid w:val="00545A0E"/>
    <w:rsid w:val="0054722D"/>
    <w:rsid w:val="005510C3"/>
    <w:rsid w:val="00552062"/>
    <w:rsid w:val="00553934"/>
    <w:rsid w:val="0055587D"/>
    <w:rsid w:val="005622C9"/>
    <w:rsid w:val="00563279"/>
    <w:rsid w:val="0056389E"/>
    <w:rsid w:val="00567CC7"/>
    <w:rsid w:val="0057041B"/>
    <w:rsid w:val="005761F4"/>
    <w:rsid w:val="00576A52"/>
    <w:rsid w:val="00576BB4"/>
    <w:rsid w:val="00583E66"/>
    <w:rsid w:val="00585B2D"/>
    <w:rsid w:val="00587031"/>
    <w:rsid w:val="005875EC"/>
    <w:rsid w:val="00591373"/>
    <w:rsid w:val="00594C12"/>
    <w:rsid w:val="00596571"/>
    <w:rsid w:val="0059664D"/>
    <w:rsid w:val="00596FA3"/>
    <w:rsid w:val="005A06FA"/>
    <w:rsid w:val="005A3B4E"/>
    <w:rsid w:val="005A4FA9"/>
    <w:rsid w:val="005B46CE"/>
    <w:rsid w:val="005B5ECE"/>
    <w:rsid w:val="005B66A1"/>
    <w:rsid w:val="005C27BD"/>
    <w:rsid w:val="005D178D"/>
    <w:rsid w:val="005D359C"/>
    <w:rsid w:val="005E1EB7"/>
    <w:rsid w:val="005E3733"/>
    <w:rsid w:val="005E5B9F"/>
    <w:rsid w:val="005E68AB"/>
    <w:rsid w:val="005F025F"/>
    <w:rsid w:val="005F3AA2"/>
    <w:rsid w:val="005F5189"/>
    <w:rsid w:val="00604954"/>
    <w:rsid w:val="00605468"/>
    <w:rsid w:val="00621279"/>
    <w:rsid w:val="00633D2C"/>
    <w:rsid w:val="00637389"/>
    <w:rsid w:val="00637BEE"/>
    <w:rsid w:val="00637E74"/>
    <w:rsid w:val="00651B4C"/>
    <w:rsid w:val="00654472"/>
    <w:rsid w:val="00654BD7"/>
    <w:rsid w:val="006645E5"/>
    <w:rsid w:val="006657A8"/>
    <w:rsid w:val="0066727D"/>
    <w:rsid w:val="00667764"/>
    <w:rsid w:val="00674D48"/>
    <w:rsid w:val="0067550D"/>
    <w:rsid w:val="00680D4C"/>
    <w:rsid w:val="0068123F"/>
    <w:rsid w:val="006903FC"/>
    <w:rsid w:val="00693C55"/>
    <w:rsid w:val="006941B5"/>
    <w:rsid w:val="00696BF6"/>
    <w:rsid w:val="006972AC"/>
    <w:rsid w:val="006A1D1F"/>
    <w:rsid w:val="006A21A1"/>
    <w:rsid w:val="006A359C"/>
    <w:rsid w:val="006A3AC1"/>
    <w:rsid w:val="006A672D"/>
    <w:rsid w:val="006B209B"/>
    <w:rsid w:val="006B214D"/>
    <w:rsid w:val="006B2D9B"/>
    <w:rsid w:val="006B3440"/>
    <w:rsid w:val="006B43FD"/>
    <w:rsid w:val="006B503E"/>
    <w:rsid w:val="006B6E81"/>
    <w:rsid w:val="006B7D45"/>
    <w:rsid w:val="006C3B56"/>
    <w:rsid w:val="006C574D"/>
    <w:rsid w:val="006C7398"/>
    <w:rsid w:val="006D06DA"/>
    <w:rsid w:val="006D1997"/>
    <w:rsid w:val="006D21A4"/>
    <w:rsid w:val="006D5269"/>
    <w:rsid w:val="006D60E4"/>
    <w:rsid w:val="006D7058"/>
    <w:rsid w:val="006D720E"/>
    <w:rsid w:val="006E0826"/>
    <w:rsid w:val="006E5D66"/>
    <w:rsid w:val="006E6E6F"/>
    <w:rsid w:val="006F2A02"/>
    <w:rsid w:val="00702B11"/>
    <w:rsid w:val="007043AB"/>
    <w:rsid w:val="007061D5"/>
    <w:rsid w:val="00707FFD"/>
    <w:rsid w:val="00710523"/>
    <w:rsid w:val="00714154"/>
    <w:rsid w:val="00715B6E"/>
    <w:rsid w:val="007209B1"/>
    <w:rsid w:val="00720A4E"/>
    <w:rsid w:val="007218D8"/>
    <w:rsid w:val="00721A17"/>
    <w:rsid w:val="0072219F"/>
    <w:rsid w:val="0072236E"/>
    <w:rsid w:val="00723451"/>
    <w:rsid w:val="007237A6"/>
    <w:rsid w:val="00733736"/>
    <w:rsid w:val="00735473"/>
    <w:rsid w:val="00736BFE"/>
    <w:rsid w:val="00736F98"/>
    <w:rsid w:val="00741280"/>
    <w:rsid w:val="00742991"/>
    <w:rsid w:val="007452DD"/>
    <w:rsid w:val="00745EDB"/>
    <w:rsid w:val="007470B7"/>
    <w:rsid w:val="00750CF2"/>
    <w:rsid w:val="0075139E"/>
    <w:rsid w:val="00752A49"/>
    <w:rsid w:val="007564B1"/>
    <w:rsid w:val="00757C98"/>
    <w:rsid w:val="007643CF"/>
    <w:rsid w:val="007656B2"/>
    <w:rsid w:val="0077568D"/>
    <w:rsid w:val="00775BA7"/>
    <w:rsid w:val="007769C5"/>
    <w:rsid w:val="00776BB5"/>
    <w:rsid w:val="00780E59"/>
    <w:rsid w:val="00782BC6"/>
    <w:rsid w:val="00782F3A"/>
    <w:rsid w:val="00785211"/>
    <w:rsid w:val="0078560F"/>
    <w:rsid w:val="00787A14"/>
    <w:rsid w:val="00790E29"/>
    <w:rsid w:val="007922A0"/>
    <w:rsid w:val="00792595"/>
    <w:rsid w:val="00794D9E"/>
    <w:rsid w:val="007959F1"/>
    <w:rsid w:val="00795ECB"/>
    <w:rsid w:val="00796B03"/>
    <w:rsid w:val="007A5AE8"/>
    <w:rsid w:val="007A762F"/>
    <w:rsid w:val="007B6312"/>
    <w:rsid w:val="007C2815"/>
    <w:rsid w:val="007C5CE7"/>
    <w:rsid w:val="007D340E"/>
    <w:rsid w:val="007D5492"/>
    <w:rsid w:val="007E0FA4"/>
    <w:rsid w:val="007E1236"/>
    <w:rsid w:val="007E23B5"/>
    <w:rsid w:val="007E2E3A"/>
    <w:rsid w:val="007E7469"/>
    <w:rsid w:val="007E7AF7"/>
    <w:rsid w:val="007F36D3"/>
    <w:rsid w:val="007F380A"/>
    <w:rsid w:val="007F4992"/>
    <w:rsid w:val="00810F1A"/>
    <w:rsid w:val="008135FB"/>
    <w:rsid w:val="0081377C"/>
    <w:rsid w:val="0081468A"/>
    <w:rsid w:val="0081529F"/>
    <w:rsid w:val="00817AF6"/>
    <w:rsid w:val="008214F6"/>
    <w:rsid w:val="00826852"/>
    <w:rsid w:val="00830B91"/>
    <w:rsid w:val="008333AA"/>
    <w:rsid w:val="008338C3"/>
    <w:rsid w:val="00835FE3"/>
    <w:rsid w:val="00836828"/>
    <w:rsid w:val="00836D0E"/>
    <w:rsid w:val="00841E60"/>
    <w:rsid w:val="00845ED2"/>
    <w:rsid w:val="0084660A"/>
    <w:rsid w:val="0084716C"/>
    <w:rsid w:val="0085002A"/>
    <w:rsid w:val="0085232B"/>
    <w:rsid w:val="00854E7D"/>
    <w:rsid w:val="008605B8"/>
    <w:rsid w:val="008627C7"/>
    <w:rsid w:val="00867093"/>
    <w:rsid w:val="008677D2"/>
    <w:rsid w:val="00877218"/>
    <w:rsid w:val="00882F4C"/>
    <w:rsid w:val="0088433C"/>
    <w:rsid w:val="00890610"/>
    <w:rsid w:val="008A059A"/>
    <w:rsid w:val="008A1017"/>
    <w:rsid w:val="008A1437"/>
    <w:rsid w:val="008A21DF"/>
    <w:rsid w:val="008A5729"/>
    <w:rsid w:val="008B0D6F"/>
    <w:rsid w:val="008B4D45"/>
    <w:rsid w:val="008C0CEF"/>
    <w:rsid w:val="008C1CD4"/>
    <w:rsid w:val="008C2174"/>
    <w:rsid w:val="008C330A"/>
    <w:rsid w:val="008C3BD7"/>
    <w:rsid w:val="008D79EA"/>
    <w:rsid w:val="008E17FC"/>
    <w:rsid w:val="008E2C48"/>
    <w:rsid w:val="008E655B"/>
    <w:rsid w:val="008F089D"/>
    <w:rsid w:val="008F2E98"/>
    <w:rsid w:val="00900FB2"/>
    <w:rsid w:val="00901B81"/>
    <w:rsid w:val="00901EA5"/>
    <w:rsid w:val="00905A32"/>
    <w:rsid w:val="009104B2"/>
    <w:rsid w:val="00911F1B"/>
    <w:rsid w:val="009132AB"/>
    <w:rsid w:val="009174C1"/>
    <w:rsid w:val="00924AA9"/>
    <w:rsid w:val="00935696"/>
    <w:rsid w:val="00937CEC"/>
    <w:rsid w:val="0094620D"/>
    <w:rsid w:val="009469D2"/>
    <w:rsid w:val="00946A28"/>
    <w:rsid w:val="00952A8E"/>
    <w:rsid w:val="00953546"/>
    <w:rsid w:val="00953F75"/>
    <w:rsid w:val="00957B88"/>
    <w:rsid w:val="0096219A"/>
    <w:rsid w:val="009626C4"/>
    <w:rsid w:val="00964709"/>
    <w:rsid w:val="00964DC1"/>
    <w:rsid w:val="00970E89"/>
    <w:rsid w:val="00974752"/>
    <w:rsid w:val="00974F1F"/>
    <w:rsid w:val="00983E94"/>
    <w:rsid w:val="009901C6"/>
    <w:rsid w:val="009923D6"/>
    <w:rsid w:val="00993DEB"/>
    <w:rsid w:val="00993FA0"/>
    <w:rsid w:val="00996328"/>
    <w:rsid w:val="009965C8"/>
    <w:rsid w:val="00996EDA"/>
    <w:rsid w:val="009A29DF"/>
    <w:rsid w:val="009A3EEF"/>
    <w:rsid w:val="009A409A"/>
    <w:rsid w:val="009A48A3"/>
    <w:rsid w:val="009A56F1"/>
    <w:rsid w:val="009A6EF5"/>
    <w:rsid w:val="009A7546"/>
    <w:rsid w:val="009B3EB0"/>
    <w:rsid w:val="009B5ED4"/>
    <w:rsid w:val="009B6A95"/>
    <w:rsid w:val="009C113D"/>
    <w:rsid w:val="009C3584"/>
    <w:rsid w:val="009C401F"/>
    <w:rsid w:val="009C6685"/>
    <w:rsid w:val="009C6AC2"/>
    <w:rsid w:val="009D20AC"/>
    <w:rsid w:val="009D47E4"/>
    <w:rsid w:val="009D4A6C"/>
    <w:rsid w:val="009E4E02"/>
    <w:rsid w:val="009E6F2A"/>
    <w:rsid w:val="009F056A"/>
    <w:rsid w:val="009F3B66"/>
    <w:rsid w:val="009F4EE5"/>
    <w:rsid w:val="00A023DF"/>
    <w:rsid w:val="00A04FCA"/>
    <w:rsid w:val="00A12033"/>
    <w:rsid w:val="00A13280"/>
    <w:rsid w:val="00A13DE2"/>
    <w:rsid w:val="00A1426C"/>
    <w:rsid w:val="00A14E35"/>
    <w:rsid w:val="00A22888"/>
    <w:rsid w:val="00A23D9B"/>
    <w:rsid w:val="00A256FF"/>
    <w:rsid w:val="00A26C00"/>
    <w:rsid w:val="00A3120E"/>
    <w:rsid w:val="00A31D9A"/>
    <w:rsid w:val="00A3641A"/>
    <w:rsid w:val="00A43933"/>
    <w:rsid w:val="00A454E4"/>
    <w:rsid w:val="00A46D3D"/>
    <w:rsid w:val="00A51834"/>
    <w:rsid w:val="00A52DCB"/>
    <w:rsid w:val="00A5329D"/>
    <w:rsid w:val="00A543BD"/>
    <w:rsid w:val="00A56246"/>
    <w:rsid w:val="00A63FA4"/>
    <w:rsid w:val="00A64F14"/>
    <w:rsid w:val="00A90738"/>
    <w:rsid w:val="00A912F6"/>
    <w:rsid w:val="00A9178D"/>
    <w:rsid w:val="00A92589"/>
    <w:rsid w:val="00A94742"/>
    <w:rsid w:val="00A94822"/>
    <w:rsid w:val="00AA5AE8"/>
    <w:rsid w:val="00AB47D6"/>
    <w:rsid w:val="00AB53ED"/>
    <w:rsid w:val="00AC0E89"/>
    <w:rsid w:val="00AC257D"/>
    <w:rsid w:val="00AC41A8"/>
    <w:rsid w:val="00AC66F5"/>
    <w:rsid w:val="00AD28FF"/>
    <w:rsid w:val="00AD309E"/>
    <w:rsid w:val="00AD60F2"/>
    <w:rsid w:val="00AD65D7"/>
    <w:rsid w:val="00AF0EB1"/>
    <w:rsid w:val="00AF1AD6"/>
    <w:rsid w:val="00AF560B"/>
    <w:rsid w:val="00AF7277"/>
    <w:rsid w:val="00B0265A"/>
    <w:rsid w:val="00B046FD"/>
    <w:rsid w:val="00B105A1"/>
    <w:rsid w:val="00B108A0"/>
    <w:rsid w:val="00B118C6"/>
    <w:rsid w:val="00B12B67"/>
    <w:rsid w:val="00B13D6D"/>
    <w:rsid w:val="00B224F0"/>
    <w:rsid w:val="00B23B39"/>
    <w:rsid w:val="00B23EF3"/>
    <w:rsid w:val="00B241D9"/>
    <w:rsid w:val="00B25EDB"/>
    <w:rsid w:val="00B305C0"/>
    <w:rsid w:val="00B32D4D"/>
    <w:rsid w:val="00B33963"/>
    <w:rsid w:val="00B3738B"/>
    <w:rsid w:val="00B446C8"/>
    <w:rsid w:val="00B47F4A"/>
    <w:rsid w:val="00B5045E"/>
    <w:rsid w:val="00B568F4"/>
    <w:rsid w:val="00B5701B"/>
    <w:rsid w:val="00B57435"/>
    <w:rsid w:val="00B64C1F"/>
    <w:rsid w:val="00B70D17"/>
    <w:rsid w:val="00B72297"/>
    <w:rsid w:val="00B72B8A"/>
    <w:rsid w:val="00B733FD"/>
    <w:rsid w:val="00B7352C"/>
    <w:rsid w:val="00B82011"/>
    <w:rsid w:val="00B9115C"/>
    <w:rsid w:val="00B95BC8"/>
    <w:rsid w:val="00BA0B9D"/>
    <w:rsid w:val="00BA3F46"/>
    <w:rsid w:val="00BA475D"/>
    <w:rsid w:val="00BA4961"/>
    <w:rsid w:val="00BA53DF"/>
    <w:rsid w:val="00BB050A"/>
    <w:rsid w:val="00BB06FD"/>
    <w:rsid w:val="00BB3F6F"/>
    <w:rsid w:val="00BD3BD3"/>
    <w:rsid w:val="00BE6C7A"/>
    <w:rsid w:val="00BF274D"/>
    <w:rsid w:val="00C00E6E"/>
    <w:rsid w:val="00C026CE"/>
    <w:rsid w:val="00C04084"/>
    <w:rsid w:val="00C07F29"/>
    <w:rsid w:val="00C1505C"/>
    <w:rsid w:val="00C1783C"/>
    <w:rsid w:val="00C27040"/>
    <w:rsid w:val="00C32CE4"/>
    <w:rsid w:val="00C3685D"/>
    <w:rsid w:val="00C37495"/>
    <w:rsid w:val="00C417C1"/>
    <w:rsid w:val="00C41BFB"/>
    <w:rsid w:val="00C4203C"/>
    <w:rsid w:val="00C42875"/>
    <w:rsid w:val="00C43852"/>
    <w:rsid w:val="00C43A8D"/>
    <w:rsid w:val="00C46EC0"/>
    <w:rsid w:val="00C473DE"/>
    <w:rsid w:val="00C50EE6"/>
    <w:rsid w:val="00C55F32"/>
    <w:rsid w:val="00C56D59"/>
    <w:rsid w:val="00C6239D"/>
    <w:rsid w:val="00C62688"/>
    <w:rsid w:val="00C67BCC"/>
    <w:rsid w:val="00C712B3"/>
    <w:rsid w:val="00C823AC"/>
    <w:rsid w:val="00C85C85"/>
    <w:rsid w:val="00C85E03"/>
    <w:rsid w:val="00C93C41"/>
    <w:rsid w:val="00C97257"/>
    <w:rsid w:val="00CA0026"/>
    <w:rsid w:val="00CA01FB"/>
    <w:rsid w:val="00CA152F"/>
    <w:rsid w:val="00CA67A4"/>
    <w:rsid w:val="00CA6FF6"/>
    <w:rsid w:val="00CB1105"/>
    <w:rsid w:val="00CB2C4D"/>
    <w:rsid w:val="00CB3CD8"/>
    <w:rsid w:val="00CB481B"/>
    <w:rsid w:val="00CB723C"/>
    <w:rsid w:val="00CB7CAB"/>
    <w:rsid w:val="00CC3E9E"/>
    <w:rsid w:val="00CC454F"/>
    <w:rsid w:val="00CC60ED"/>
    <w:rsid w:val="00CC7CBE"/>
    <w:rsid w:val="00CD0B02"/>
    <w:rsid w:val="00CD0CA5"/>
    <w:rsid w:val="00CD5A9C"/>
    <w:rsid w:val="00CD6359"/>
    <w:rsid w:val="00CD76BD"/>
    <w:rsid w:val="00CE1A59"/>
    <w:rsid w:val="00CE2CF8"/>
    <w:rsid w:val="00CE3BCC"/>
    <w:rsid w:val="00CE3D81"/>
    <w:rsid w:val="00CE46DB"/>
    <w:rsid w:val="00CE51AE"/>
    <w:rsid w:val="00CF1948"/>
    <w:rsid w:val="00CF4779"/>
    <w:rsid w:val="00D03828"/>
    <w:rsid w:val="00D079A9"/>
    <w:rsid w:val="00D10132"/>
    <w:rsid w:val="00D104E5"/>
    <w:rsid w:val="00D139F2"/>
    <w:rsid w:val="00D1507A"/>
    <w:rsid w:val="00D2046D"/>
    <w:rsid w:val="00D23EB2"/>
    <w:rsid w:val="00D26E81"/>
    <w:rsid w:val="00D27781"/>
    <w:rsid w:val="00D3112F"/>
    <w:rsid w:val="00D3164F"/>
    <w:rsid w:val="00D362A0"/>
    <w:rsid w:val="00D4143C"/>
    <w:rsid w:val="00D514CA"/>
    <w:rsid w:val="00D55138"/>
    <w:rsid w:val="00D600A6"/>
    <w:rsid w:val="00D60123"/>
    <w:rsid w:val="00D60BB1"/>
    <w:rsid w:val="00D613B1"/>
    <w:rsid w:val="00D61BF6"/>
    <w:rsid w:val="00D62098"/>
    <w:rsid w:val="00D638F6"/>
    <w:rsid w:val="00D658C0"/>
    <w:rsid w:val="00D72661"/>
    <w:rsid w:val="00D736C2"/>
    <w:rsid w:val="00D7405C"/>
    <w:rsid w:val="00D74427"/>
    <w:rsid w:val="00D8321A"/>
    <w:rsid w:val="00D834E6"/>
    <w:rsid w:val="00D87CD5"/>
    <w:rsid w:val="00D9049B"/>
    <w:rsid w:val="00D937E5"/>
    <w:rsid w:val="00DA10F3"/>
    <w:rsid w:val="00DA15FA"/>
    <w:rsid w:val="00DA1E31"/>
    <w:rsid w:val="00DA31D6"/>
    <w:rsid w:val="00DA5431"/>
    <w:rsid w:val="00DA5E00"/>
    <w:rsid w:val="00DA653B"/>
    <w:rsid w:val="00DB05C6"/>
    <w:rsid w:val="00DB1783"/>
    <w:rsid w:val="00DC29C6"/>
    <w:rsid w:val="00DC32D3"/>
    <w:rsid w:val="00DC441F"/>
    <w:rsid w:val="00DD001C"/>
    <w:rsid w:val="00DD4A1F"/>
    <w:rsid w:val="00DD6ABB"/>
    <w:rsid w:val="00DE0F10"/>
    <w:rsid w:val="00DE1702"/>
    <w:rsid w:val="00DE223C"/>
    <w:rsid w:val="00DE36AD"/>
    <w:rsid w:val="00DE5AD0"/>
    <w:rsid w:val="00DF0BDD"/>
    <w:rsid w:val="00DF7F08"/>
    <w:rsid w:val="00E01D5F"/>
    <w:rsid w:val="00E03102"/>
    <w:rsid w:val="00E0530D"/>
    <w:rsid w:val="00E1096B"/>
    <w:rsid w:val="00E129BE"/>
    <w:rsid w:val="00E1755D"/>
    <w:rsid w:val="00E22F91"/>
    <w:rsid w:val="00E230BD"/>
    <w:rsid w:val="00E24B6B"/>
    <w:rsid w:val="00E25986"/>
    <w:rsid w:val="00E31A81"/>
    <w:rsid w:val="00E348CA"/>
    <w:rsid w:val="00E34F49"/>
    <w:rsid w:val="00E35341"/>
    <w:rsid w:val="00E36B9B"/>
    <w:rsid w:val="00E377E3"/>
    <w:rsid w:val="00E40EF8"/>
    <w:rsid w:val="00E419B4"/>
    <w:rsid w:val="00E44F6C"/>
    <w:rsid w:val="00E51A30"/>
    <w:rsid w:val="00E53B9A"/>
    <w:rsid w:val="00E567B6"/>
    <w:rsid w:val="00E62903"/>
    <w:rsid w:val="00E655D3"/>
    <w:rsid w:val="00E7047E"/>
    <w:rsid w:val="00E71DA0"/>
    <w:rsid w:val="00E727D6"/>
    <w:rsid w:val="00E75CA9"/>
    <w:rsid w:val="00E7616E"/>
    <w:rsid w:val="00E80226"/>
    <w:rsid w:val="00E80E9C"/>
    <w:rsid w:val="00E81B19"/>
    <w:rsid w:val="00E82B7F"/>
    <w:rsid w:val="00E84728"/>
    <w:rsid w:val="00E90ABC"/>
    <w:rsid w:val="00E91738"/>
    <w:rsid w:val="00E9306E"/>
    <w:rsid w:val="00EA0A9A"/>
    <w:rsid w:val="00EB0579"/>
    <w:rsid w:val="00EB0E39"/>
    <w:rsid w:val="00EB1467"/>
    <w:rsid w:val="00EB57AD"/>
    <w:rsid w:val="00EC1DD6"/>
    <w:rsid w:val="00EC313E"/>
    <w:rsid w:val="00EC6FAB"/>
    <w:rsid w:val="00ED16A4"/>
    <w:rsid w:val="00EE10C0"/>
    <w:rsid w:val="00EE28D4"/>
    <w:rsid w:val="00EE626E"/>
    <w:rsid w:val="00EF10F3"/>
    <w:rsid w:val="00EF2890"/>
    <w:rsid w:val="00EF2EB8"/>
    <w:rsid w:val="00EF530E"/>
    <w:rsid w:val="00F00BFD"/>
    <w:rsid w:val="00F01901"/>
    <w:rsid w:val="00F04E01"/>
    <w:rsid w:val="00F110F9"/>
    <w:rsid w:val="00F118DF"/>
    <w:rsid w:val="00F11A9A"/>
    <w:rsid w:val="00F140E1"/>
    <w:rsid w:val="00F1475C"/>
    <w:rsid w:val="00F22D54"/>
    <w:rsid w:val="00F234DA"/>
    <w:rsid w:val="00F24CD3"/>
    <w:rsid w:val="00F26297"/>
    <w:rsid w:val="00F30B45"/>
    <w:rsid w:val="00F37155"/>
    <w:rsid w:val="00F37DCE"/>
    <w:rsid w:val="00F40B99"/>
    <w:rsid w:val="00F42A07"/>
    <w:rsid w:val="00F4392E"/>
    <w:rsid w:val="00F46A4B"/>
    <w:rsid w:val="00F4720D"/>
    <w:rsid w:val="00F53270"/>
    <w:rsid w:val="00F61BA9"/>
    <w:rsid w:val="00F666D6"/>
    <w:rsid w:val="00F67F20"/>
    <w:rsid w:val="00F774FF"/>
    <w:rsid w:val="00F82F0B"/>
    <w:rsid w:val="00F845D0"/>
    <w:rsid w:val="00F84AAA"/>
    <w:rsid w:val="00F869B6"/>
    <w:rsid w:val="00F875AB"/>
    <w:rsid w:val="00F87B3B"/>
    <w:rsid w:val="00F87DF4"/>
    <w:rsid w:val="00FA04AE"/>
    <w:rsid w:val="00FA2D50"/>
    <w:rsid w:val="00FA7290"/>
    <w:rsid w:val="00FA75C7"/>
    <w:rsid w:val="00FB0C0C"/>
    <w:rsid w:val="00FB292C"/>
    <w:rsid w:val="00FC11A4"/>
    <w:rsid w:val="00FC197E"/>
    <w:rsid w:val="00FC4EF6"/>
    <w:rsid w:val="00FC6C17"/>
    <w:rsid w:val="00FC788C"/>
    <w:rsid w:val="00FD1345"/>
    <w:rsid w:val="00FD5B50"/>
    <w:rsid w:val="00FD7008"/>
    <w:rsid w:val="00FE090F"/>
    <w:rsid w:val="00FE4E96"/>
    <w:rsid w:val="00FE5E49"/>
    <w:rsid w:val="00FF18A3"/>
    <w:rsid w:val="00FF62F4"/>
    <w:rsid w:val="00FF63CB"/>
    <w:rsid w:val="00FF70E3"/>
    <w:rsid w:val="4D8E38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uiPriority="39" w:semiHidden="0" w:name="toc 2"/>
    <w:lsdException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semiHidden="0" w:name="annotation text"/>
    <w:lsdException w:uiPriority="99" w:semiHidden="0" w:name="header"/>
    <w:lsdException w:uiPriority="99" w:semiHidden="0" w:name="footer"/>
    <w:lsdException w:uiPriority="99" w:name="index heading"/>
    <w:lsdException w:qFormat="1" w:uiPriority="35" w:semiHidden="0" w:name="caption"/>
    <w:lsdException w:qFormat="1" w:uiPriority="99" w:semiHidden="0"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nhideWhenUsed="0"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jc w:val="both"/>
    </w:pPr>
    <w:rPr>
      <w:rFonts w:ascii="Times New Roman" w:hAnsi="Times New Roman" w:eastAsia="微软雅黑" w:cstheme="minorBidi"/>
      <w:kern w:val="0"/>
      <w:sz w:val="24"/>
      <w:szCs w:val="22"/>
      <w:lang w:val="en-US" w:eastAsia="zh-CN" w:bidi="ar-SA"/>
    </w:rPr>
  </w:style>
  <w:style w:type="paragraph" w:styleId="2">
    <w:name w:val="heading 1"/>
    <w:basedOn w:val="1"/>
    <w:next w:val="1"/>
    <w:link w:val="32"/>
    <w:qFormat/>
    <w:uiPriority w:val="9"/>
    <w:pPr>
      <w:keepNext/>
      <w:keepLines/>
      <w:widowControl w:val="0"/>
      <w:numPr>
        <w:ilvl w:val="0"/>
        <w:numId w:val="1"/>
      </w:numPr>
      <w:adjustRightInd/>
      <w:snapToGrid/>
      <w:spacing w:before="240" w:after="240"/>
      <w:outlineLvl w:val="0"/>
    </w:pPr>
    <w:rPr>
      <w:rFonts w:eastAsiaTheme="minorEastAsia"/>
      <w:b/>
      <w:bCs/>
      <w:kern w:val="44"/>
      <w:sz w:val="32"/>
      <w:szCs w:val="44"/>
    </w:rPr>
  </w:style>
  <w:style w:type="paragraph" w:styleId="3">
    <w:name w:val="heading 2"/>
    <w:basedOn w:val="1"/>
    <w:next w:val="1"/>
    <w:link w:val="33"/>
    <w:unhideWhenUsed/>
    <w:qFormat/>
    <w:uiPriority w:val="9"/>
    <w:pPr>
      <w:keepNext/>
      <w:keepLines/>
      <w:widowControl w:val="0"/>
      <w:numPr>
        <w:ilvl w:val="1"/>
        <w:numId w:val="1"/>
      </w:numPr>
      <w:adjustRightInd/>
      <w:snapToGrid/>
      <w:spacing w:before="120" w:after="120" w:line="360" w:lineRule="auto"/>
      <w:outlineLvl w:val="1"/>
    </w:pPr>
    <w:rPr>
      <w:rFonts w:cs="Times New Roman" w:eastAsiaTheme="majorEastAsia"/>
      <w:b/>
      <w:bCs/>
      <w:kern w:val="2"/>
      <w:sz w:val="28"/>
      <w:szCs w:val="28"/>
    </w:rPr>
  </w:style>
  <w:style w:type="paragraph" w:styleId="4">
    <w:name w:val="heading 3"/>
    <w:basedOn w:val="1"/>
    <w:next w:val="1"/>
    <w:link w:val="34"/>
    <w:unhideWhenUsed/>
    <w:qFormat/>
    <w:uiPriority w:val="9"/>
    <w:pPr>
      <w:keepNext/>
      <w:keepLines/>
      <w:widowControl w:val="0"/>
      <w:numPr>
        <w:ilvl w:val="2"/>
        <w:numId w:val="1"/>
      </w:numPr>
      <w:adjustRightInd/>
      <w:snapToGrid/>
      <w:spacing w:before="120" w:after="120" w:line="360" w:lineRule="auto"/>
      <w:outlineLvl w:val="2"/>
    </w:pPr>
    <w:rPr>
      <w:rFonts w:eastAsiaTheme="minorEastAsia"/>
      <w:b/>
      <w:bCs/>
      <w:kern w:val="2"/>
      <w:szCs w:val="32"/>
    </w:rPr>
  </w:style>
  <w:style w:type="paragraph" w:styleId="5">
    <w:name w:val="heading 4"/>
    <w:basedOn w:val="1"/>
    <w:next w:val="1"/>
    <w:link w:val="35"/>
    <w:unhideWhenUsed/>
    <w:qFormat/>
    <w:uiPriority w:val="9"/>
    <w:pPr>
      <w:keepNext/>
      <w:keepLines/>
      <w:widowControl w:val="0"/>
      <w:numPr>
        <w:ilvl w:val="3"/>
        <w:numId w:val="1"/>
      </w:numPr>
      <w:adjustRightInd/>
      <w:snapToGrid/>
      <w:outlineLvl w:val="3"/>
    </w:pPr>
    <w:rPr>
      <w:rFonts w:eastAsia="Times New Roman" w:cstheme="majorBidi"/>
      <w:b/>
      <w:bCs/>
      <w:kern w:val="2"/>
      <w:szCs w:val="28"/>
    </w:rPr>
  </w:style>
  <w:style w:type="paragraph" w:styleId="6">
    <w:name w:val="heading 5"/>
    <w:basedOn w:val="1"/>
    <w:next w:val="1"/>
    <w:link w:val="55"/>
    <w:semiHidden/>
    <w:unhideWhenUsed/>
    <w:qFormat/>
    <w:uiPriority w:val="9"/>
    <w:pPr>
      <w:keepNext/>
      <w:keepLines/>
      <w:numPr>
        <w:ilvl w:val="4"/>
        <w:numId w:val="1"/>
      </w:numPr>
      <w:spacing w:before="280" w:after="290" w:line="376" w:lineRule="auto"/>
      <w:outlineLvl w:val="4"/>
    </w:pPr>
    <w:rPr>
      <w:b/>
      <w:bCs/>
      <w:sz w:val="28"/>
      <w:szCs w:val="28"/>
    </w:rPr>
  </w:style>
  <w:style w:type="paragraph" w:styleId="7">
    <w:name w:val="heading 6"/>
    <w:basedOn w:val="1"/>
    <w:next w:val="1"/>
    <w:link w:val="56"/>
    <w:semiHidden/>
    <w:unhideWhenUsed/>
    <w:qFormat/>
    <w:uiPriority w:val="9"/>
    <w:pPr>
      <w:keepNext/>
      <w:keepLines/>
      <w:numPr>
        <w:ilvl w:val="5"/>
        <w:numId w:val="1"/>
      </w:numPr>
      <w:spacing w:before="240" w:after="64" w:line="320" w:lineRule="auto"/>
      <w:outlineLvl w:val="5"/>
    </w:pPr>
    <w:rPr>
      <w:rFonts w:asciiTheme="majorHAnsi" w:hAnsiTheme="majorHAnsi" w:eastAsiaTheme="majorEastAsia" w:cstheme="majorBidi"/>
      <w:b/>
      <w:bCs/>
      <w:szCs w:val="24"/>
    </w:rPr>
  </w:style>
  <w:style w:type="paragraph" w:styleId="8">
    <w:name w:val="heading 7"/>
    <w:basedOn w:val="1"/>
    <w:next w:val="1"/>
    <w:link w:val="57"/>
    <w:semiHidden/>
    <w:unhideWhenUsed/>
    <w:qFormat/>
    <w:uiPriority w:val="9"/>
    <w:pPr>
      <w:keepNext/>
      <w:keepLines/>
      <w:numPr>
        <w:ilvl w:val="6"/>
        <w:numId w:val="1"/>
      </w:numPr>
      <w:spacing w:before="240" w:after="64" w:line="320" w:lineRule="auto"/>
      <w:outlineLvl w:val="6"/>
    </w:pPr>
    <w:rPr>
      <w:b/>
      <w:bCs/>
      <w:szCs w:val="24"/>
    </w:rPr>
  </w:style>
  <w:style w:type="paragraph" w:styleId="9">
    <w:name w:val="heading 8"/>
    <w:basedOn w:val="1"/>
    <w:next w:val="1"/>
    <w:link w:val="58"/>
    <w:semiHidden/>
    <w:unhideWhenUsed/>
    <w:qFormat/>
    <w:uiPriority w:val="9"/>
    <w:pPr>
      <w:keepNext/>
      <w:keepLines/>
      <w:numPr>
        <w:ilvl w:val="7"/>
        <w:numId w:val="1"/>
      </w:numPr>
      <w:spacing w:before="240" w:after="64" w:line="320" w:lineRule="auto"/>
      <w:outlineLvl w:val="7"/>
    </w:pPr>
    <w:rPr>
      <w:rFonts w:asciiTheme="majorHAnsi" w:hAnsiTheme="majorHAnsi" w:eastAsiaTheme="majorEastAsia" w:cstheme="majorBidi"/>
      <w:szCs w:val="24"/>
    </w:rPr>
  </w:style>
  <w:style w:type="paragraph" w:styleId="10">
    <w:name w:val="heading 9"/>
    <w:basedOn w:val="1"/>
    <w:next w:val="1"/>
    <w:link w:val="59"/>
    <w:semiHidden/>
    <w:unhideWhenUsed/>
    <w:qFormat/>
    <w:uiPriority w:val="9"/>
    <w:pPr>
      <w:keepNext/>
      <w:keepLines/>
      <w:numPr>
        <w:ilvl w:val="8"/>
        <w:numId w:val="1"/>
      </w:numPr>
      <w:spacing w:before="240" w:after="64" w:line="320" w:lineRule="auto"/>
      <w:outlineLvl w:val="8"/>
    </w:pPr>
    <w:rPr>
      <w:rFonts w:asciiTheme="majorHAnsi" w:hAnsiTheme="majorHAnsi" w:eastAsiaTheme="majorEastAsia" w:cstheme="majorBidi"/>
      <w:sz w:val="21"/>
      <w:szCs w:val="21"/>
    </w:rPr>
  </w:style>
  <w:style w:type="character" w:default="1" w:styleId="27">
    <w:name w:val="Default Paragraph Font"/>
    <w:semiHidden/>
    <w:unhideWhenUsed/>
    <w:uiPriority w:val="1"/>
  </w:style>
  <w:style w:type="table" w:default="1" w:styleId="25">
    <w:name w:val="Normal Table"/>
    <w:semiHidden/>
    <w:unhideWhenUsed/>
    <w:uiPriority w:val="99"/>
    <w:tblPr>
      <w:tblCellMar>
        <w:top w:w="0" w:type="dxa"/>
        <w:left w:w="108" w:type="dxa"/>
        <w:bottom w:w="0" w:type="dxa"/>
        <w:right w:w="108" w:type="dxa"/>
      </w:tblCellMar>
    </w:tblPr>
  </w:style>
  <w:style w:type="paragraph" w:styleId="11">
    <w:name w:val="caption"/>
    <w:basedOn w:val="1"/>
    <w:next w:val="1"/>
    <w:link w:val="44"/>
    <w:unhideWhenUsed/>
    <w:qFormat/>
    <w:uiPriority w:val="35"/>
    <w:pPr>
      <w:widowControl w:val="0"/>
      <w:adjustRightInd/>
      <w:snapToGrid/>
      <w:jc w:val="center"/>
    </w:pPr>
    <w:rPr>
      <w:rFonts w:eastAsia="黑体" w:cstheme="majorBidi"/>
      <w:i/>
      <w:kern w:val="2"/>
      <w:sz w:val="20"/>
      <w:szCs w:val="20"/>
    </w:rPr>
  </w:style>
  <w:style w:type="paragraph" w:styleId="12">
    <w:name w:val="Document Map"/>
    <w:basedOn w:val="1"/>
    <w:link w:val="38"/>
    <w:semiHidden/>
    <w:unhideWhenUsed/>
    <w:uiPriority w:val="99"/>
    <w:rPr>
      <w:rFonts w:ascii="宋体" w:eastAsia="宋体"/>
      <w:sz w:val="18"/>
      <w:szCs w:val="18"/>
    </w:rPr>
  </w:style>
  <w:style w:type="paragraph" w:styleId="13">
    <w:name w:val="annotation text"/>
    <w:basedOn w:val="1"/>
    <w:link w:val="46"/>
    <w:unhideWhenUsed/>
    <w:uiPriority w:val="99"/>
    <w:rPr>
      <w:sz w:val="20"/>
      <w:szCs w:val="20"/>
    </w:rPr>
  </w:style>
  <w:style w:type="paragraph" w:styleId="14">
    <w:name w:val="Body Text"/>
    <w:basedOn w:val="1"/>
    <w:link w:val="49"/>
    <w:qFormat/>
    <w:uiPriority w:val="0"/>
    <w:pPr>
      <w:adjustRightInd/>
      <w:snapToGrid/>
      <w:ind w:firstLine="883" w:firstLineChars="200"/>
    </w:pPr>
    <w:rPr>
      <w:rFonts w:ascii="Calibri" w:hAnsi="Calibri" w:eastAsia="宋体" w:cs="Times New Roman"/>
      <w:szCs w:val="24"/>
      <w:lang w:eastAsia="en-US"/>
    </w:rPr>
  </w:style>
  <w:style w:type="paragraph" w:styleId="15">
    <w:name w:val="toc 3"/>
    <w:basedOn w:val="1"/>
    <w:next w:val="1"/>
    <w:unhideWhenUsed/>
    <w:uiPriority w:val="39"/>
    <w:pPr>
      <w:tabs>
        <w:tab w:val="left" w:pos="1260"/>
        <w:tab w:val="right" w:leader="dot" w:pos="8296"/>
      </w:tabs>
      <w:ind w:left="440"/>
    </w:pPr>
    <w:rPr>
      <w:rFonts w:cs="Times New Roman"/>
    </w:rPr>
  </w:style>
  <w:style w:type="paragraph" w:styleId="16">
    <w:name w:val="Balloon Text"/>
    <w:basedOn w:val="1"/>
    <w:link w:val="40"/>
    <w:semiHidden/>
    <w:unhideWhenUsed/>
    <w:uiPriority w:val="99"/>
    <w:rPr>
      <w:sz w:val="18"/>
      <w:szCs w:val="18"/>
    </w:rPr>
  </w:style>
  <w:style w:type="paragraph" w:styleId="17">
    <w:name w:val="footer"/>
    <w:basedOn w:val="1"/>
    <w:link w:val="37"/>
    <w:unhideWhenUsed/>
    <w:uiPriority w:val="99"/>
    <w:pPr>
      <w:tabs>
        <w:tab w:val="center" w:pos="4153"/>
        <w:tab w:val="right" w:pos="8306"/>
      </w:tabs>
    </w:pPr>
    <w:rPr>
      <w:sz w:val="18"/>
      <w:szCs w:val="18"/>
    </w:rPr>
  </w:style>
  <w:style w:type="paragraph" w:styleId="18">
    <w:name w:val="header"/>
    <w:basedOn w:val="1"/>
    <w:link w:val="36"/>
    <w:unhideWhenUsed/>
    <w:uiPriority w:val="99"/>
    <w:pPr>
      <w:pBdr>
        <w:bottom w:val="single" w:color="auto" w:sz="6" w:space="1"/>
      </w:pBdr>
      <w:tabs>
        <w:tab w:val="center" w:pos="4153"/>
        <w:tab w:val="right" w:pos="8306"/>
      </w:tabs>
      <w:jc w:val="center"/>
    </w:pPr>
    <w:rPr>
      <w:sz w:val="18"/>
      <w:szCs w:val="18"/>
    </w:rPr>
  </w:style>
  <w:style w:type="paragraph" w:styleId="19">
    <w:name w:val="toc 1"/>
    <w:basedOn w:val="1"/>
    <w:next w:val="1"/>
    <w:unhideWhenUsed/>
    <w:uiPriority w:val="39"/>
    <w:pPr>
      <w:tabs>
        <w:tab w:val="left" w:pos="440"/>
        <w:tab w:val="right" w:leader="dot" w:pos="8296"/>
      </w:tabs>
    </w:pPr>
    <w:rPr>
      <w:rFonts w:cs="Times New Roman"/>
    </w:rPr>
  </w:style>
  <w:style w:type="paragraph" w:styleId="20">
    <w:name w:val="table of figures"/>
    <w:basedOn w:val="1"/>
    <w:next w:val="1"/>
    <w:unhideWhenUsed/>
    <w:qFormat/>
    <w:uiPriority w:val="99"/>
    <w:pPr>
      <w:ind w:left="200" w:leftChars="200" w:hanging="200" w:hangingChars="200"/>
    </w:pPr>
  </w:style>
  <w:style w:type="paragraph" w:styleId="21">
    <w:name w:val="toc 2"/>
    <w:basedOn w:val="1"/>
    <w:next w:val="1"/>
    <w:unhideWhenUsed/>
    <w:uiPriority w:val="39"/>
    <w:pPr>
      <w:ind w:left="220"/>
    </w:pPr>
    <w:rPr>
      <w:rFonts w:cs="Times New Roman"/>
    </w:rPr>
  </w:style>
  <w:style w:type="paragraph" w:styleId="22">
    <w:name w:val="Normal (Web)"/>
    <w:basedOn w:val="1"/>
    <w:semiHidden/>
    <w:unhideWhenUsed/>
    <w:qFormat/>
    <w:uiPriority w:val="99"/>
    <w:pPr>
      <w:adjustRightInd/>
      <w:snapToGrid/>
      <w:spacing w:before="100" w:beforeAutospacing="1" w:after="100" w:afterAutospacing="1"/>
      <w:jc w:val="left"/>
    </w:pPr>
    <w:rPr>
      <w:rFonts w:ascii="宋体" w:hAnsi="宋体" w:eastAsia="宋体" w:cs="宋体"/>
      <w:szCs w:val="24"/>
    </w:rPr>
  </w:style>
  <w:style w:type="paragraph" w:styleId="23">
    <w:name w:val="Title"/>
    <w:basedOn w:val="1"/>
    <w:next w:val="1"/>
    <w:link w:val="48"/>
    <w:qFormat/>
    <w:uiPriority w:val="10"/>
    <w:pPr>
      <w:widowControl w:val="0"/>
      <w:adjustRightInd/>
      <w:snapToGrid/>
      <w:spacing w:before="120"/>
      <w:contextualSpacing/>
    </w:pPr>
    <w:rPr>
      <w:rFonts w:ascii="Cambria" w:hAnsi="Cambria" w:eastAsia="MS Gothic" w:cs="Times New Roman"/>
      <w:spacing w:val="-10"/>
      <w:kern w:val="28"/>
      <w:sz w:val="56"/>
      <w:szCs w:val="56"/>
    </w:rPr>
  </w:style>
  <w:style w:type="paragraph" w:styleId="24">
    <w:name w:val="annotation subject"/>
    <w:basedOn w:val="13"/>
    <w:next w:val="13"/>
    <w:link w:val="47"/>
    <w:semiHidden/>
    <w:unhideWhenUsed/>
    <w:uiPriority w:val="99"/>
    <w:rPr>
      <w:b/>
      <w:bCs/>
    </w:rPr>
  </w:style>
  <w:style w:type="table" w:styleId="26">
    <w:name w:val="Table Grid"/>
    <w:basedOn w:val="25"/>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28">
    <w:name w:val="page number"/>
    <w:uiPriority w:val="99"/>
    <w:rPr>
      <w:rFonts w:cs="Times New Roman"/>
    </w:rPr>
  </w:style>
  <w:style w:type="character" w:styleId="29">
    <w:name w:val="FollowedHyperlink"/>
    <w:basedOn w:val="27"/>
    <w:semiHidden/>
    <w:unhideWhenUsed/>
    <w:qFormat/>
    <w:uiPriority w:val="99"/>
    <w:rPr>
      <w:color w:val="954F72" w:themeColor="followedHyperlink"/>
      <w:u w:val="single"/>
      <w14:textFill>
        <w14:solidFill>
          <w14:schemeClr w14:val="folHlink"/>
        </w14:solidFill>
      </w14:textFill>
    </w:rPr>
  </w:style>
  <w:style w:type="character" w:styleId="30">
    <w:name w:val="Hyperlink"/>
    <w:basedOn w:val="27"/>
    <w:unhideWhenUsed/>
    <w:uiPriority w:val="99"/>
    <w:rPr>
      <w:color w:val="0563C1" w:themeColor="hyperlink"/>
      <w:u w:val="single"/>
      <w14:textFill>
        <w14:solidFill>
          <w14:schemeClr w14:val="hlink"/>
        </w14:solidFill>
      </w14:textFill>
    </w:rPr>
  </w:style>
  <w:style w:type="character" w:styleId="31">
    <w:name w:val="annotation reference"/>
    <w:basedOn w:val="27"/>
    <w:semiHidden/>
    <w:unhideWhenUsed/>
    <w:uiPriority w:val="99"/>
    <w:rPr>
      <w:sz w:val="16"/>
      <w:szCs w:val="16"/>
    </w:rPr>
  </w:style>
  <w:style w:type="character" w:customStyle="1" w:styleId="32">
    <w:name w:val="标题 1 字符"/>
    <w:basedOn w:val="27"/>
    <w:link w:val="2"/>
    <w:uiPriority w:val="9"/>
    <w:rPr>
      <w:rFonts w:ascii="Times New Roman" w:hAnsi="Times New Roman"/>
      <w:b/>
      <w:bCs/>
      <w:kern w:val="44"/>
      <w:sz w:val="32"/>
      <w:szCs w:val="44"/>
    </w:rPr>
  </w:style>
  <w:style w:type="character" w:customStyle="1" w:styleId="33">
    <w:name w:val="标题 2 字符"/>
    <w:basedOn w:val="27"/>
    <w:link w:val="3"/>
    <w:uiPriority w:val="9"/>
    <w:rPr>
      <w:rFonts w:ascii="Times New Roman" w:hAnsi="Times New Roman" w:cs="Times New Roman" w:eastAsiaTheme="majorEastAsia"/>
      <w:b/>
      <w:bCs/>
      <w:sz w:val="28"/>
      <w:szCs w:val="28"/>
    </w:rPr>
  </w:style>
  <w:style w:type="character" w:customStyle="1" w:styleId="34">
    <w:name w:val="标题 3 字符"/>
    <w:basedOn w:val="27"/>
    <w:link w:val="4"/>
    <w:uiPriority w:val="9"/>
    <w:rPr>
      <w:rFonts w:ascii="Times New Roman" w:hAnsi="Times New Roman"/>
      <w:b/>
      <w:bCs/>
      <w:sz w:val="24"/>
      <w:szCs w:val="32"/>
    </w:rPr>
  </w:style>
  <w:style w:type="character" w:customStyle="1" w:styleId="35">
    <w:name w:val="标题 4 字符"/>
    <w:basedOn w:val="27"/>
    <w:link w:val="5"/>
    <w:uiPriority w:val="9"/>
    <w:rPr>
      <w:rFonts w:ascii="Times New Roman" w:hAnsi="Times New Roman" w:eastAsia="Times New Roman" w:cstheme="majorBidi"/>
      <w:b/>
      <w:bCs/>
      <w:sz w:val="24"/>
      <w:szCs w:val="28"/>
    </w:rPr>
  </w:style>
  <w:style w:type="character" w:customStyle="1" w:styleId="36">
    <w:name w:val="页眉 字符"/>
    <w:basedOn w:val="27"/>
    <w:link w:val="18"/>
    <w:uiPriority w:val="99"/>
    <w:rPr>
      <w:rFonts w:ascii="Times New Roman" w:hAnsi="Times New Roman" w:eastAsia="微软雅黑"/>
      <w:kern w:val="0"/>
      <w:sz w:val="18"/>
      <w:szCs w:val="18"/>
    </w:rPr>
  </w:style>
  <w:style w:type="character" w:customStyle="1" w:styleId="37">
    <w:name w:val="页脚 字符"/>
    <w:basedOn w:val="27"/>
    <w:link w:val="17"/>
    <w:uiPriority w:val="99"/>
    <w:rPr>
      <w:rFonts w:ascii="Times New Roman" w:hAnsi="Times New Roman" w:eastAsia="微软雅黑"/>
      <w:kern w:val="0"/>
      <w:sz w:val="18"/>
      <w:szCs w:val="18"/>
    </w:rPr>
  </w:style>
  <w:style w:type="character" w:customStyle="1" w:styleId="38">
    <w:name w:val="文档结构图 字符"/>
    <w:basedOn w:val="27"/>
    <w:link w:val="12"/>
    <w:semiHidden/>
    <w:uiPriority w:val="99"/>
    <w:rPr>
      <w:rFonts w:ascii="宋体" w:hAnsi="Times New Roman" w:eastAsia="宋体"/>
      <w:kern w:val="0"/>
      <w:sz w:val="18"/>
      <w:szCs w:val="18"/>
    </w:rPr>
  </w:style>
  <w:style w:type="paragraph" w:styleId="39">
    <w:name w:val="List Paragraph"/>
    <w:basedOn w:val="1"/>
    <w:link w:val="45"/>
    <w:qFormat/>
    <w:uiPriority w:val="34"/>
    <w:pPr>
      <w:widowControl w:val="0"/>
      <w:adjustRightInd/>
      <w:snapToGrid/>
      <w:ind w:left="777" w:hanging="420"/>
    </w:pPr>
    <w:rPr>
      <w:rFonts w:eastAsiaTheme="minorEastAsia"/>
      <w:kern w:val="2"/>
    </w:rPr>
  </w:style>
  <w:style w:type="character" w:customStyle="1" w:styleId="40">
    <w:name w:val="批注框文本 字符"/>
    <w:basedOn w:val="27"/>
    <w:link w:val="16"/>
    <w:semiHidden/>
    <w:uiPriority w:val="99"/>
    <w:rPr>
      <w:rFonts w:ascii="Times New Roman" w:hAnsi="Times New Roman" w:eastAsia="微软雅黑"/>
      <w:kern w:val="0"/>
      <w:sz w:val="18"/>
      <w:szCs w:val="18"/>
    </w:rPr>
  </w:style>
  <w:style w:type="table" w:customStyle="1" w:styleId="41">
    <w:name w:val="浅色底纹1"/>
    <w:basedOn w:val="25"/>
    <w:uiPriority w:val="60"/>
    <w:rPr>
      <w:color w:val="000000" w:themeColor="text1" w:themeShade="BF"/>
    </w:rPr>
    <w:tblPr>
      <w:tblBorders>
        <w:top w:val="single" w:color="000000" w:themeColor="text1" w:sz="8" w:space="0"/>
        <w:bottom w:val="single" w:color="000000" w:themeColor="text1" w:sz="8" w:space="0"/>
      </w:tblBorders>
    </w:tblPr>
    <w:tblStylePr w:type="firstRow">
      <w:pPr>
        <w:spacing w:before="0" w:after="0" w:line="240" w:lineRule="auto"/>
      </w:pPr>
      <w:rPr>
        <w:b/>
        <w:bCs/>
      </w:r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BFBFBF" w:themeFill="text1" w:themeFillTint="3F"/>
      </w:tcPr>
    </w:tblStylePr>
    <w:tblStylePr w:type="band1Horz">
      <w:tcPr>
        <w:tcBorders>
          <w:left w:val="nil"/>
          <w:right w:val="nil"/>
          <w:insideH w:val="nil"/>
          <w:insideV w:val="nil"/>
        </w:tcBorders>
        <w:shd w:val="clear" w:color="auto" w:fill="BFBFBF" w:themeFill="text1" w:themeFillTint="3F"/>
      </w:tcPr>
    </w:tblStylePr>
  </w:style>
  <w:style w:type="paragraph" w:customStyle="1" w:styleId="42">
    <w:name w:val="EndNote Bibliography"/>
    <w:basedOn w:val="1"/>
    <w:link w:val="43"/>
    <w:uiPriority w:val="0"/>
    <w:pPr>
      <w:widowControl w:val="0"/>
      <w:adjustRightInd/>
      <w:snapToGrid/>
    </w:pPr>
    <w:rPr>
      <w:rFonts w:cs="Times New Roman" w:eastAsiaTheme="minorEastAsia"/>
      <w:kern w:val="2"/>
    </w:rPr>
  </w:style>
  <w:style w:type="character" w:customStyle="1" w:styleId="43">
    <w:name w:val="EndNote Bibliography Char"/>
    <w:basedOn w:val="27"/>
    <w:link w:val="42"/>
    <w:uiPriority w:val="0"/>
    <w:rPr>
      <w:rFonts w:ascii="Times New Roman" w:hAnsi="Times New Roman" w:cs="Times New Roman"/>
      <w:sz w:val="24"/>
    </w:rPr>
  </w:style>
  <w:style w:type="character" w:customStyle="1" w:styleId="44">
    <w:name w:val="题注 字符"/>
    <w:link w:val="11"/>
    <w:qFormat/>
    <w:uiPriority w:val="35"/>
    <w:rPr>
      <w:rFonts w:ascii="Times New Roman" w:hAnsi="Times New Roman" w:eastAsia="黑体" w:cstheme="majorBidi"/>
      <w:i/>
      <w:sz w:val="20"/>
      <w:szCs w:val="20"/>
    </w:rPr>
  </w:style>
  <w:style w:type="character" w:customStyle="1" w:styleId="45">
    <w:name w:val="列表段落 字符"/>
    <w:basedOn w:val="27"/>
    <w:link w:val="39"/>
    <w:uiPriority w:val="34"/>
    <w:rPr>
      <w:rFonts w:ascii="Times New Roman" w:hAnsi="Times New Roman"/>
      <w:sz w:val="24"/>
    </w:rPr>
  </w:style>
  <w:style w:type="character" w:customStyle="1" w:styleId="46">
    <w:name w:val="批注文字 字符"/>
    <w:basedOn w:val="27"/>
    <w:link w:val="13"/>
    <w:uiPriority w:val="99"/>
    <w:rPr>
      <w:rFonts w:ascii="Times New Roman" w:hAnsi="Times New Roman" w:eastAsia="微软雅黑"/>
      <w:kern w:val="0"/>
      <w:sz w:val="20"/>
      <w:szCs w:val="20"/>
    </w:rPr>
  </w:style>
  <w:style w:type="character" w:customStyle="1" w:styleId="47">
    <w:name w:val="批注主题 字符"/>
    <w:basedOn w:val="46"/>
    <w:link w:val="24"/>
    <w:semiHidden/>
    <w:uiPriority w:val="99"/>
    <w:rPr>
      <w:rFonts w:ascii="Times New Roman" w:hAnsi="Times New Roman" w:eastAsia="微软雅黑"/>
      <w:b/>
      <w:bCs/>
      <w:kern w:val="0"/>
      <w:sz w:val="20"/>
      <w:szCs w:val="20"/>
    </w:rPr>
  </w:style>
  <w:style w:type="character" w:customStyle="1" w:styleId="48">
    <w:name w:val="标题 字符"/>
    <w:basedOn w:val="27"/>
    <w:link w:val="23"/>
    <w:uiPriority w:val="10"/>
    <w:rPr>
      <w:rFonts w:ascii="Cambria" w:hAnsi="Cambria" w:eastAsia="MS Gothic" w:cs="Times New Roman"/>
      <w:spacing w:val="-10"/>
      <w:kern w:val="28"/>
      <w:sz w:val="56"/>
      <w:szCs w:val="56"/>
    </w:rPr>
  </w:style>
  <w:style w:type="character" w:customStyle="1" w:styleId="49">
    <w:name w:val="正文文本 字符"/>
    <w:basedOn w:val="27"/>
    <w:link w:val="14"/>
    <w:uiPriority w:val="0"/>
    <w:rPr>
      <w:rFonts w:ascii="Calibri" w:hAnsi="Calibri" w:eastAsia="宋体" w:cs="Times New Roman"/>
      <w:kern w:val="0"/>
      <w:sz w:val="24"/>
      <w:szCs w:val="24"/>
      <w:lang w:eastAsia="en-US"/>
    </w:rPr>
  </w:style>
  <w:style w:type="paragraph" w:customStyle="1" w:styleId="50">
    <w:name w:val="正文格式"/>
    <w:qFormat/>
    <w:uiPriority w:val="99"/>
    <w:pPr>
      <w:spacing w:line="440" w:lineRule="atLeast"/>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51">
    <w:name w:val="Revision"/>
    <w:hidden/>
    <w:semiHidden/>
    <w:qFormat/>
    <w:uiPriority w:val="99"/>
    <w:rPr>
      <w:rFonts w:ascii="Times New Roman" w:hAnsi="Times New Roman" w:eastAsia="微软雅黑" w:cstheme="minorBidi"/>
      <w:kern w:val="0"/>
      <w:sz w:val="24"/>
      <w:szCs w:val="22"/>
      <w:lang w:val="en-US" w:eastAsia="zh-CN" w:bidi="ar-SA"/>
    </w:rPr>
  </w:style>
  <w:style w:type="paragraph" w:customStyle="1" w:styleId="52">
    <w:name w:val="EndNote Bibliography Title"/>
    <w:basedOn w:val="1"/>
    <w:link w:val="53"/>
    <w:qFormat/>
    <w:uiPriority w:val="0"/>
    <w:pPr>
      <w:jc w:val="center"/>
    </w:pPr>
    <w:rPr>
      <w:rFonts w:cs="Times New Roman"/>
    </w:rPr>
  </w:style>
  <w:style w:type="character" w:customStyle="1" w:styleId="53">
    <w:name w:val="EndNote Bibliography Title Char"/>
    <w:basedOn w:val="27"/>
    <w:link w:val="52"/>
    <w:qFormat/>
    <w:uiPriority w:val="0"/>
    <w:rPr>
      <w:rFonts w:ascii="Times New Roman" w:hAnsi="Times New Roman" w:eastAsia="微软雅黑" w:cs="Times New Roman"/>
      <w:kern w:val="0"/>
      <w:sz w:val="24"/>
    </w:rPr>
  </w:style>
  <w:style w:type="character" w:customStyle="1" w:styleId="54">
    <w:name w:val="Unresolved Mention1"/>
    <w:basedOn w:val="27"/>
    <w:semiHidden/>
    <w:unhideWhenUsed/>
    <w:qFormat/>
    <w:uiPriority w:val="99"/>
    <w:rPr>
      <w:color w:val="605E5C"/>
      <w:shd w:val="clear" w:color="auto" w:fill="E1DFDD"/>
    </w:rPr>
  </w:style>
  <w:style w:type="character" w:customStyle="1" w:styleId="55">
    <w:name w:val="标题 5 字符"/>
    <w:basedOn w:val="27"/>
    <w:link w:val="6"/>
    <w:semiHidden/>
    <w:qFormat/>
    <w:uiPriority w:val="9"/>
    <w:rPr>
      <w:rFonts w:ascii="Times New Roman" w:hAnsi="Times New Roman" w:eastAsia="微软雅黑"/>
      <w:b/>
      <w:bCs/>
      <w:kern w:val="0"/>
      <w:sz w:val="28"/>
      <w:szCs w:val="28"/>
    </w:rPr>
  </w:style>
  <w:style w:type="character" w:customStyle="1" w:styleId="56">
    <w:name w:val="标题 6 字符"/>
    <w:basedOn w:val="27"/>
    <w:link w:val="7"/>
    <w:semiHidden/>
    <w:qFormat/>
    <w:uiPriority w:val="9"/>
    <w:rPr>
      <w:rFonts w:asciiTheme="majorHAnsi" w:hAnsiTheme="majorHAnsi" w:eastAsiaTheme="majorEastAsia" w:cstheme="majorBidi"/>
      <w:b/>
      <w:bCs/>
      <w:kern w:val="0"/>
      <w:sz w:val="24"/>
      <w:szCs w:val="24"/>
    </w:rPr>
  </w:style>
  <w:style w:type="character" w:customStyle="1" w:styleId="57">
    <w:name w:val="标题 7 字符"/>
    <w:basedOn w:val="27"/>
    <w:link w:val="8"/>
    <w:semiHidden/>
    <w:qFormat/>
    <w:uiPriority w:val="9"/>
    <w:rPr>
      <w:rFonts w:ascii="Times New Roman" w:hAnsi="Times New Roman" w:eastAsia="微软雅黑"/>
      <w:b/>
      <w:bCs/>
      <w:kern w:val="0"/>
      <w:sz w:val="24"/>
      <w:szCs w:val="24"/>
    </w:rPr>
  </w:style>
  <w:style w:type="character" w:customStyle="1" w:styleId="58">
    <w:name w:val="标题 8 字符"/>
    <w:basedOn w:val="27"/>
    <w:link w:val="9"/>
    <w:semiHidden/>
    <w:qFormat/>
    <w:uiPriority w:val="9"/>
    <w:rPr>
      <w:rFonts w:asciiTheme="majorHAnsi" w:hAnsiTheme="majorHAnsi" w:eastAsiaTheme="majorEastAsia" w:cstheme="majorBidi"/>
      <w:kern w:val="0"/>
      <w:sz w:val="24"/>
      <w:szCs w:val="24"/>
    </w:rPr>
  </w:style>
  <w:style w:type="character" w:customStyle="1" w:styleId="59">
    <w:name w:val="标题 9 字符"/>
    <w:basedOn w:val="27"/>
    <w:link w:val="10"/>
    <w:semiHidden/>
    <w:qFormat/>
    <w:uiPriority w:val="9"/>
    <w:rPr>
      <w:rFonts w:asciiTheme="majorHAnsi" w:hAnsiTheme="majorHAnsi" w:eastAsiaTheme="majorEastAsia" w:cstheme="majorBidi"/>
      <w:kern w:val="0"/>
      <w:szCs w:val="21"/>
    </w:rPr>
  </w:style>
  <w:style w:type="character" w:customStyle="1" w:styleId="60">
    <w:name w:val="Unresolved Mention"/>
    <w:basedOn w:val="27"/>
    <w:semiHidden/>
    <w:unhideWhenUsed/>
    <w:qFormat/>
    <w:uiPriority w:val="99"/>
    <w:rPr>
      <w:color w:val="605E5C"/>
      <w:shd w:val="clear" w:color="auto" w:fill="E1DFDD"/>
    </w:rPr>
  </w:style>
  <w:style w:type="character" w:customStyle="1" w:styleId="61">
    <w:name w:val="f_heading1"/>
    <w:basedOn w:val="27"/>
    <w:qFormat/>
    <w:uiPriority w:val="0"/>
  </w:style>
  <w:style w:type="character" w:customStyle="1" w:styleId="62">
    <w:name w:val="f_listparagraph"/>
    <w:basedOn w:val="27"/>
    <w:qFormat/>
    <w:uiPriority w:val="0"/>
  </w:style>
  <w:style w:type="paragraph" w:customStyle="1" w:styleId="63">
    <w:name w:val="p_listparagraph"/>
    <w:basedOn w:val="1"/>
    <w:qFormat/>
    <w:uiPriority w:val="0"/>
    <w:pPr>
      <w:adjustRightInd/>
      <w:snapToGrid/>
      <w:spacing w:before="100" w:beforeAutospacing="1" w:after="100" w:afterAutospacing="1"/>
      <w:jc w:val="left"/>
    </w:pPr>
    <w:rPr>
      <w:rFonts w:ascii="宋体" w:hAnsi="宋体" w:eastAsia="宋体" w:cs="宋体"/>
      <w:szCs w:val="24"/>
    </w:rPr>
  </w:style>
  <w:style w:type="character" w:customStyle="1" w:styleId="64">
    <w:name w:val="f_hyperlink"/>
    <w:basedOn w:val="27"/>
    <w:qFormat/>
    <w:uiPriority w:val="0"/>
  </w:style>
  <w:style w:type="paragraph" w:customStyle="1" w:styleId="65">
    <w:name w:val="Arrow"/>
    <w:basedOn w:val="50"/>
    <w:qFormat/>
    <w:uiPriority w:val="0"/>
    <w:pPr>
      <w:numPr>
        <w:ilvl w:val="0"/>
        <w:numId w:val="2"/>
      </w:numPr>
      <w:spacing w:before="120" w:after="120" w:line="240" w:lineRule="auto"/>
      <w:ind w:left="900" w:firstLine="0" w:firstLineChars="0"/>
    </w:pPr>
  </w:style>
</w:styles>
</file>

<file path=word/_rels/document.xml.rels><?xml version="1.0" encoding="UTF-8" standalone="yes"?>
<Relationships xmlns="http://schemas.openxmlformats.org/package/2006/relationships"><Relationship Id="rId98" Type="http://schemas.openxmlformats.org/officeDocument/2006/relationships/fontTable" Target="fontTable.xml"/><Relationship Id="rId97" Type="http://schemas.openxmlformats.org/officeDocument/2006/relationships/customXml" Target="../customXml/item5.xml"/><Relationship Id="rId96" Type="http://schemas.openxmlformats.org/officeDocument/2006/relationships/customXml" Target="../customXml/item4.xml"/><Relationship Id="rId95" Type="http://schemas.openxmlformats.org/officeDocument/2006/relationships/customXml" Target="../customXml/item3.xml"/><Relationship Id="rId94" Type="http://schemas.openxmlformats.org/officeDocument/2006/relationships/customXml" Target="../customXml/item2.xml"/><Relationship Id="rId93" Type="http://schemas.openxmlformats.org/officeDocument/2006/relationships/numbering" Target="numbering.xml"/><Relationship Id="rId92" Type="http://schemas.openxmlformats.org/officeDocument/2006/relationships/customXml" Target="../customXml/item1.xml"/><Relationship Id="rId91" Type="http://schemas.openxmlformats.org/officeDocument/2006/relationships/image" Target="media/image80.png"/><Relationship Id="rId90" Type="http://schemas.openxmlformats.org/officeDocument/2006/relationships/image" Target="media/image79.png"/><Relationship Id="rId9" Type="http://schemas.openxmlformats.org/officeDocument/2006/relationships/footer" Target="footer5.xml"/><Relationship Id="rId89" Type="http://schemas.openxmlformats.org/officeDocument/2006/relationships/image" Target="media/image78.png"/><Relationship Id="rId88" Type="http://schemas.openxmlformats.org/officeDocument/2006/relationships/image" Target="media/image77.png"/><Relationship Id="rId87" Type="http://schemas.openxmlformats.org/officeDocument/2006/relationships/image" Target="media/image76.png"/><Relationship Id="rId86" Type="http://schemas.openxmlformats.org/officeDocument/2006/relationships/image" Target="media/image75.png"/><Relationship Id="rId85" Type="http://schemas.openxmlformats.org/officeDocument/2006/relationships/image" Target="media/image74.png"/><Relationship Id="rId84" Type="http://schemas.openxmlformats.org/officeDocument/2006/relationships/image" Target="media/image73.png"/><Relationship Id="rId83" Type="http://schemas.openxmlformats.org/officeDocument/2006/relationships/image" Target="media/image72.png"/><Relationship Id="rId82" Type="http://schemas.openxmlformats.org/officeDocument/2006/relationships/image" Target="media/image71.png"/><Relationship Id="rId81" Type="http://schemas.openxmlformats.org/officeDocument/2006/relationships/image" Target="media/image70.png"/><Relationship Id="rId80" Type="http://schemas.openxmlformats.org/officeDocument/2006/relationships/image" Target="media/image69.png"/><Relationship Id="rId8" Type="http://schemas.openxmlformats.org/officeDocument/2006/relationships/footer" Target="footer4.xml"/><Relationship Id="rId79" Type="http://schemas.openxmlformats.org/officeDocument/2006/relationships/image" Target="media/image68.png"/><Relationship Id="rId78" Type="http://schemas.openxmlformats.org/officeDocument/2006/relationships/image" Target="media/image67.png"/><Relationship Id="rId77" Type="http://schemas.openxmlformats.org/officeDocument/2006/relationships/image" Target="media/image66.png"/><Relationship Id="rId76" Type="http://schemas.openxmlformats.org/officeDocument/2006/relationships/image" Target="media/image65.png"/><Relationship Id="rId75" Type="http://schemas.openxmlformats.org/officeDocument/2006/relationships/image" Target="media/image64.png"/><Relationship Id="rId74" Type="http://schemas.openxmlformats.org/officeDocument/2006/relationships/image" Target="media/image63.png"/><Relationship Id="rId73" Type="http://schemas.openxmlformats.org/officeDocument/2006/relationships/image" Target="media/image62.png"/><Relationship Id="rId72" Type="http://schemas.openxmlformats.org/officeDocument/2006/relationships/image" Target="media/image61.pn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header" Target="header2.xml"/><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footer" Target="footer3.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2.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1.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theme" Target="theme/theme1.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0f2c4289-518d-43cd-8b7a-220086d39f76" xsi:nil="true"/>
    <lcf76f155ced4ddcb4097134ff3c332f xmlns="5eb56300-0ed2-405a-9b8c-e800ef279349">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12961B9C0BAE4944B872F422FE495CB6" ma:contentTypeVersion="13" ma:contentTypeDescription="Create a new document." ma:contentTypeScope="" ma:versionID="03577c0596065c0eaf269c2b387b3836">
  <xsd:schema xmlns:xsd="http://www.w3.org/2001/XMLSchema" xmlns:xs="http://www.w3.org/2001/XMLSchema" xmlns:p="http://schemas.microsoft.com/office/2006/metadata/properties" xmlns:ns2="5eb56300-0ed2-405a-9b8c-e800ef279349" xmlns:ns3="0f2c4289-518d-43cd-8b7a-220086d39f76" targetNamespace="http://schemas.microsoft.com/office/2006/metadata/properties" ma:root="true" ma:fieldsID="b6a421aa4ee4e3b71938bbd3eb0af653" ns2:_="" ns3:_="">
    <xsd:import namespace="5eb56300-0ed2-405a-9b8c-e800ef279349"/>
    <xsd:import namespace="0f2c4289-518d-43cd-8b7a-220086d39f7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b56300-0ed2-405a-9b8c-e800ef27934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33fdc6da-32ca-4a2b-983e-32d6a4a8ae6b"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f2c4289-518d-43cd-8b7a-220086d39f7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e14a461d-e599-45c5-b0cf-60a778ebca56}" ma:internalName="TaxCatchAll" ma:showField="CatchAllData" ma:web="0f2c4289-518d-43cd-8b7a-220086d39f7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EBD3549-19DE-41D1-AC6B-ED247622CF8F}">
  <ds:schemaRefs/>
</ds:datastoreItem>
</file>

<file path=customXml/itemProps3.xml><?xml version="1.0" encoding="utf-8"?>
<ds:datastoreItem xmlns:ds="http://schemas.openxmlformats.org/officeDocument/2006/customXml" ds:itemID="{1C0C63EA-3C02-429E-814F-7990A8E77732}">
  <ds:schemaRefs/>
</ds:datastoreItem>
</file>

<file path=customXml/itemProps4.xml><?xml version="1.0" encoding="utf-8"?>
<ds:datastoreItem xmlns:ds="http://schemas.openxmlformats.org/officeDocument/2006/customXml" ds:itemID="{FDF0CB60-7640-430F-9DA1-29394DFA2B46}">
  <ds:schemaRefs/>
</ds:datastoreItem>
</file>

<file path=customXml/itemProps5.xml><?xml version="1.0" encoding="utf-8"?>
<ds:datastoreItem xmlns:ds="http://schemas.openxmlformats.org/officeDocument/2006/customXml" ds:itemID="{41CCFC56-C726-4B9D-9F0D-7B3096414263}"/>
</file>

<file path=docProps/app.xml><?xml version="1.0" encoding="utf-8"?>
<Properties xmlns="http://schemas.openxmlformats.org/officeDocument/2006/extended-properties" xmlns:vt="http://schemas.openxmlformats.org/officeDocument/2006/docPropsVTypes">
  <Template>Normal.dotm</Template>
  <Pages>75</Pages>
  <Words>8057</Words>
  <Characters>43724</Characters>
  <Lines>482</Lines>
  <Paragraphs>135</Paragraphs>
  <TotalTime>2</TotalTime>
  <ScaleCrop>false</ScaleCrop>
  <LinksUpToDate>false</LinksUpToDate>
  <CharactersWithSpaces>51199</CharactersWithSpaces>
  <Application>WPS Office_11.1.0.13607_F1E327BC-269C-435d-A152-05C5408002CA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Wenwei Yang</dc:creator>
  <cp:lastModifiedBy>hyy</cp:lastModifiedBy>
  <cp:revision>208</cp:revision>
  <cp:lastPrinted>2022-09-01T02:13:00Z</cp:lastPrinted>
  <dcterms:created xsi:type="dcterms:W3CDTF">2022-08-29T02:34:00Z</dcterms:created>
  <dcterms:modified xsi:type="dcterms:W3CDTF">2022-12-29T03:06:14Z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0x01010012961B9C0BAE4944B872F422FE495CB6</vt:lpwstr>
  </property>
  <property fmtid="{D5CDD505-2E9C-101B-9397-08002B2CF9AE}" pid="3" name="MediaServiceImageTags">
    <vt:lpwstr/>
  </property>
  <property fmtid="{D5CDD505-2E9C-101B-9397-08002B2CF9AE}" pid="4" name="KSOProductBuildVer">
    <vt:lpwstr>2052-11.1.0.13607</vt:lpwstr>
  </property>
  <property fmtid="{D5CDD505-2E9C-101B-9397-08002B2CF9AE}" pid="5" name="ICV">
    <vt:lpwstr>D61ACE24F7EA487889176024BFD43582</vt:lpwstr>
  </property>
</Properties>
</file>