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64" w:rsidRDefault="00C8735B" w:rsidP="00C8735B">
      <w:pPr>
        <w:pStyle w:val="Bullet1"/>
        <w:numPr>
          <w:ilvl w:val="0"/>
          <w:numId w:val="0"/>
        </w:numPr>
        <w:rPr>
          <w:b/>
        </w:rPr>
      </w:pPr>
      <w:bookmarkStart w:id="0" w:name="_GoBack"/>
      <w:bookmarkEnd w:id="0"/>
      <w:r>
        <w:rPr>
          <w:b/>
        </w:rPr>
        <w:t xml:space="preserve">Supplemental </w:t>
      </w:r>
      <w:r w:rsidRPr="00702BE1">
        <w:rPr>
          <w:b/>
        </w:rPr>
        <w:t>Figure</w:t>
      </w:r>
      <w:r>
        <w:rPr>
          <w:b/>
        </w:rPr>
        <w:t xml:space="preserve"> </w:t>
      </w:r>
      <w:r w:rsidR="00C221EA">
        <w:rPr>
          <w:b/>
        </w:rPr>
        <w:t>3</w:t>
      </w:r>
      <w:r>
        <w:rPr>
          <w:b/>
        </w:rPr>
        <w:t xml:space="preserve"> </w:t>
      </w:r>
    </w:p>
    <w:p w:rsidR="00C61464" w:rsidRDefault="00C61464" w:rsidP="00C8735B">
      <w:pPr>
        <w:pStyle w:val="Bullet1"/>
        <w:numPr>
          <w:ilvl w:val="0"/>
          <w:numId w:val="0"/>
        </w:numPr>
        <w:rPr>
          <w:b/>
        </w:rPr>
      </w:pPr>
      <w:r>
        <w:rPr>
          <w:b/>
        </w:rPr>
        <w:t xml:space="preserve">Literature Review for </w:t>
      </w:r>
      <w:r w:rsidR="00C8735B" w:rsidRPr="008A5E98">
        <w:rPr>
          <w:b/>
        </w:rPr>
        <w:t xml:space="preserve">AR </w:t>
      </w:r>
      <w:r w:rsidR="00C8735B">
        <w:rPr>
          <w:b/>
        </w:rPr>
        <w:t>Binding</w:t>
      </w:r>
      <w:r>
        <w:rPr>
          <w:b/>
        </w:rPr>
        <w:t xml:space="preserve"> Data on Potential Reference Chemicals</w:t>
      </w:r>
      <w:r w:rsidR="00C8735B">
        <w:rPr>
          <w:b/>
        </w:rPr>
        <w:t xml:space="preserve">: </w:t>
      </w:r>
    </w:p>
    <w:p w:rsidR="00C8735B" w:rsidRDefault="00C8735B" w:rsidP="00C8735B">
      <w:pPr>
        <w:pStyle w:val="Bullet1"/>
        <w:numPr>
          <w:ilvl w:val="0"/>
          <w:numId w:val="0"/>
        </w:numPr>
      </w:pPr>
      <w:r>
        <w:rPr>
          <w:b/>
        </w:rPr>
        <w:t>(a) Assay Types and (b) Receptor Types</w:t>
      </w:r>
    </w:p>
    <w:p w:rsidR="00C8735B" w:rsidRDefault="00C8735B" w:rsidP="00C8735B">
      <w:pPr>
        <w:pStyle w:val="Bullet1"/>
        <w:numPr>
          <w:ilvl w:val="0"/>
          <w:numId w:val="0"/>
        </w:numPr>
        <w:ind w:left="360" w:hanging="360"/>
        <w:jc w:val="center"/>
      </w:pPr>
      <w:r w:rsidRPr="000D6F4F">
        <w:rPr>
          <w:noProof/>
          <w:lang w:eastAsia="en-US" w:bidi="ar-SA"/>
        </w:rPr>
        <w:drawing>
          <wp:inline distT="0" distB="0" distL="0" distR="0" wp14:anchorId="5E116BF9" wp14:editId="5D680C37">
            <wp:extent cx="5943600" cy="23279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35B" w:rsidRDefault="00C8735B" w:rsidP="00C8735B">
      <w:pPr>
        <w:pStyle w:val="Bullet1"/>
        <w:numPr>
          <w:ilvl w:val="0"/>
          <w:numId w:val="0"/>
        </w:numPr>
        <w:ind w:left="360"/>
        <w:jc w:val="center"/>
      </w:pPr>
      <w:r>
        <w:t>(a)</w:t>
      </w:r>
    </w:p>
    <w:p w:rsidR="00C8735B" w:rsidRDefault="00C8735B" w:rsidP="00C8735B">
      <w:pPr>
        <w:pStyle w:val="Bullet1"/>
        <w:numPr>
          <w:ilvl w:val="0"/>
          <w:numId w:val="0"/>
        </w:numPr>
        <w:ind w:left="360"/>
        <w:jc w:val="center"/>
      </w:pPr>
      <w:r w:rsidRPr="00C172CC">
        <w:rPr>
          <w:noProof/>
          <w:lang w:eastAsia="en-US" w:bidi="ar-SA"/>
        </w:rPr>
        <w:drawing>
          <wp:inline distT="0" distB="0" distL="0" distR="0" wp14:anchorId="2ABD01FE" wp14:editId="30024923">
            <wp:extent cx="5863104" cy="2576147"/>
            <wp:effectExtent l="0" t="0" r="444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15" r="615"/>
                    <a:stretch/>
                  </pic:blipFill>
                  <pic:spPr bwMode="auto">
                    <a:xfrm>
                      <a:off x="0" y="0"/>
                      <a:ext cx="5870439" cy="2579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35B" w:rsidRDefault="00C8735B" w:rsidP="00C8735B">
      <w:pPr>
        <w:pStyle w:val="Bullet1"/>
        <w:numPr>
          <w:ilvl w:val="0"/>
          <w:numId w:val="0"/>
        </w:numPr>
        <w:ind w:left="360"/>
        <w:jc w:val="center"/>
      </w:pPr>
      <w:r>
        <w:t>(b)</w:t>
      </w:r>
    </w:p>
    <w:p w:rsidR="00C8735B" w:rsidRPr="00BA436E" w:rsidRDefault="00C8735B" w:rsidP="00C8735B">
      <w:pPr>
        <w:pStyle w:val="Poster-TableFooter"/>
        <w:ind w:left="360" w:firstLine="0"/>
      </w:pPr>
      <w:r>
        <w:t>Abbreviation: AR = androgen receptor. The number of experiments conducted using each assay type is shown in parentheses.</w:t>
      </w:r>
    </w:p>
    <w:p w:rsidR="00444A10" w:rsidRDefault="00444A10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ja-JP" w:bidi="en-US"/>
        </w:rPr>
      </w:pPr>
      <w:r>
        <w:rPr>
          <w:b/>
        </w:rPr>
        <w:br w:type="page"/>
      </w:r>
    </w:p>
    <w:p w:rsidR="00C61464" w:rsidRDefault="00E13519" w:rsidP="00E13519">
      <w:pPr>
        <w:pStyle w:val="Bullet1"/>
        <w:numPr>
          <w:ilvl w:val="0"/>
          <w:numId w:val="0"/>
        </w:numPr>
        <w:rPr>
          <w:b/>
        </w:rPr>
      </w:pPr>
      <w:r>
        <w:rPr>
          <w:b/>
        </w:rPr>
        <w:lastRenderedPageBreak/>
        <w:t xml:space="preserve">Supplemental </w:t>
      </w:r>
      <w:r w:rsidRPr="00702BE1">
        <w:rPr>
          <w:b/>
        </w:rPr>
        <w:t xml:space="preserve">Figure </w:t>
      </w:r>
      <w:r w:rsidR="00C221EA">
        <w:rPr>
          <w:b/>
        </w:rPr>
        <w:t>4</w:t>
      </w:r>
    </w:p>
    <w:p w:rsidR="00C61464" w:rsidRDefault="00C61464" w:rsidP="00E13519">
      <w:pPr>
        <w:pStyle w:val="Bullet1"/>
        <w:numPr>
          <w:ilvl w:val="0"/>
          <w:numId w:val="0"/>
        </w:numPr>
        <w:rPr>
          <w:b/>
        </w:rPr>
      </w:pPr>
      <w:r>
        <w:rPr>
          <w:b/>
        </w:rPr>
        <w:t xml:space="preserve">Literature Review for </w:t>
      </w:r>
      <w:r w:rsidRPr="008A5E98">
        <w:rPr>
          <w:b/>
        </w:rPr>
        <w:t xml:space="preserve">AR </w:t>
      </w:r>
      <w:r>
        <w:rPr>
          <w:b/>
        </w:rPr>
        <w:t>Transactivation Data on Potential Reference Chemicals</w:t>
      </w:r>
      <w:r w:rsidR="00E13519">
        <w:rPr>
          <w:b/>
        </w:rPr>
        <w:t xml:space="preserve">: </w:t>
      </w:r>
    </w:p>
    <w:p w:rsidR="00E13519" w:rsidRDefault="00E13519" w:rsidP="00E13519">
      <w:pPr>
        <w:pStyle w:val="Bullet1"/>
        <w:numPr>
          <w:ilvl w:val="0"/>
          <w:numId w:val="0"/>
        </w:numPr>
      </w:pPr>
      <w:r>
        <w:rPr>
          <w:b/>
        </w:rPr>
        <w:t>(a) Assay Types and (b) Receptor Types</w:t>
      </w:r>
    </w:p>
    <w:p w:rsidR="00E13519" w:rsidRDefault="00E13519" w:rsidP="00E13519">
      <w:pPr>
        <w:pStyle w:val="Bullet1"/>
        <w:numPr>
          <w:ilvl w:val="0"/>
          <w:numId w:val="0"/>
        </w:numPr>
        <w:ind w:left="360"/>
        <w:jc w:val="center"/>
      </w:pPr>
      <w:r w:rsidRPr="008907F5">
        <w:rPr>
          <w:noProof/>
          <w:lang w:eastAsia="en-US" w:bidi="ar-SA"/>
        </w:rPr>
        <w:drawing>
          <wp:inline distT="0" distB="0" distL="0" distR="0" wp14:anchorId="27436099" wp14:editId="5EDD9E6E">
            <wp:extent cx="5943600" cy="23698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519" w:rsidRDefault="00E13519" w:rsidP="00E13519">
      <w:pPr>
        <w:pStyle w:val="Bullet1"/>
        <w:numPr>
          <w:ilvl w:val="0"/>
          <w:numId w:val="0"/>
        </w:numPr>
        <w:ind w:left="360"/>
        <w:jc w:val="center"/>
      </w:pPr>
      <w:r>
        <w:t>(a)</w:t>
      </w:r>
    </w:p>
    <w:p w:rsidR="00E13519" w:rsidRDefault="00E13519" w:rsidP="00E13519">
      <w:pPr>
        <w:pStyle w:val="Bullet1"/>
        <w:numPr>
          <w:ilvl w:val="0"/>
          <w:numId w:val="0"/>
        </w:numPr>
        <w:ind w:left="360"/>
        <w:jc w:val="center"/>
      </w:pPr>
      <w:r w:rsidRPr="008907F5">
        <w:rPr>
          <w:noProof/>
          <w:lang w:eastAsia="en-US" w:bidi="ar-SA"/>
        </w:rPr>
        <w:drawing>
          <wp:inline distT="0" distB="0" distL="0" distR="0" wp14:anchorId="5D8C4873" wp14:editId="69C45D75">
            <wp:extent cx="5943600" cy="189166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519" w:rsidRDefault="00E13519" w:rsidP="00E13519">
      <w:pPr>
        <w:pStyle w:val="Bullet1"/>
        <w:numPr>
          <w:ilvl w:val="0"/>
          <w:numId w:val="0"/>
        </w:numPr>
        <w:ind w:left="360"/>
        <w:jc w:val="center"/>
      </w:pPr>
      <w:r>
        <w:t>(b)</w:t>
      </w:r>
    </w:p>
    <w:p w:rsidR="00E13519" w:rsidRDefault="00E13519" w:rsidP="00E13519">
      <w:pPr>
        <w:pStyle w:val="Poster-TableFooter"/>
        <w:ind w:left="360" w:firstLine="0"/>
      </w:pPr>
      <w:r>
        <w:t xml:space="preserve">Abbreviation: AR = androgen receptor, FRET = </w:t>
      </w:r>
      <w:r w:rsidRPr="008907F5">
        <w:t>fluorescence resonance energy transfer</w:t>
      </w:r>
      <w:r>
        <w:t>.</w:t>
      </w:r>
      <w:r w:rsidRPr="00C00A2C">
        <w:t xml:space="preserve"> </w:t>
      </w:r>
      <w:r>
        <w:t>The number of experiments conducted using each assay type is shown in parentheses.</w:t>
      </w:r>
    </w:p>
    <w:p w:rsidR="00735621" w:rsidRDefault="00735621">
      <w:r>
        <w:br w:type="page"/>
      </w:r>
    </w:p>
    <w:p w:rsidR="00735621" w:rsidRDefault="00735621">
      <w:pPr>
        <w:rPr>
          <w:rFonts w:ascii="Times New Roman" w:hAnsi="Times New Roman" w:cs="Times New Roman"/>
          <w:b/>
          <w:sz w:val="24"/>
          <w:szCs w:val="24"/>
        </w:rPr>
      </w:pPr>
      <w:r w:rsidRPr="007356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Figure </w:t>
      </w:r>
      <w:r w:rsidR="00C221E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CCC" w:rsidRPr="00735621" w:rsidRDefault="007356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35621">
        <w:rPr>
          <w:rFonts w:ascii="Times New Roman" w:hAnsi="Times New Roman" w:cs="Times New Roman"/>
          <w:b/>
          <w:sz w:val="24"/>
          <w:szCs w:val="24"/>
        </w:rPr>
        <w:t xml:space="preserve">alibration curve using the </w:t>
      </w:r>
      <w:r>
        <w:rPr>
          <w:rFonts w:ascii="Times New Roman" w:hAnsi="Times New Roman" w:cs="Times New Roman"/>
          <w:b/>
          <w:sz w:val="24"/>
          <w:szCs w:val="24"/>
        </w:rPr>
        <w:t xml:space="preserve">AR Tier 1 binding data from U.S. EPA EDSP </w:t>
      </w:r>
      <w:r w:rsidRPr="00735621">
        <w:rPr>
          <w:rFonts w:ascii="Times New Roman" w:hAnsi="Times New Roman" w:cs="Times New Roman"/>
          <w:b/>
          <w:sz w:val="24"/>
          <w:szCs w:val="24"/>
        </w:rPr>
        <w:t xml:space="preserve">List 1 chemicals, </w:t>
      </w:r>
      <w:r>
        <w:rPr>
          <w:rFonts w:ascii="Times New Roman" w:hAnsi="Times New Roman" w:cs="Times New Roman"/>
          <w:b/>
          <w:sz w:val="24"/>
          <w:szCs w:val="24"/>
        </w:rPr>
        <w:t>allowing the</w:t>
      </w:r>
      <w:r w:rsidRPr="00735621">
        <w:rPr>
          <w:rFonts w:ascii="Times New Roman" w:hAnsi="Times New Roman" w:cs="Times New Roman"/>
          <w:b/>
          <w:sz w:val="24"/>
          <w:szCs w:val="24"/>
        </w:rPr>
        <w:t xml:space="preserve"> estima</w:t>
      </w:r>
      <w:r>
        <w:rPr>
          <w:rFonts w:ascii="Times New Roman" w:hAnsi="Times New Roman" w:cs="Times New Roman"/>
          <w:b/>
          <w:sz w:val="24"/>
          <w:szCs w:val="24"/>
        </w:rPr>
        <w:t>tion of</w:t>
      </w:r>
      <w:r w:rsidRPr="00735621">
        <w:rPr>
          <w:rFonts w:ascii="Times New Roman" w:hAnsi="Times New Roman" w:cs="Times New Roman"/>
          <w:b/>
          <w:sz w:val="24"/>
          <w:szCs w:val="24"/>
        </w:rPr>
        <w:t xml:space="preserve"> IC50 values from RBAs</w:t>
      </w:r>
    </w:p>
    <w:p w:rsidR="00735621" w:rsidRDefault="00735621">
      <w:r w:rsidRPr="00735621">
        <w:rPr>
          <w:noProof/>
        </w:rPr>
        <w:drawing>
          <wp:inline distT="0" distB="0" distL="0" distR="0" wp14:anchorId="44DF6465" wp14:editId="491B497D">
            <wp:extent cx="5943600" cy="4742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37C09"/>
    <w:multiLevelType w:val="multilevel"/>
    <w:tmpl w:val="8F6EF27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5B"/>
    <w:rsid w:val="001A12B5"/>
    <w:rsid w:val="0039076C"/>
    <w:rsid w:val="00444A10"/>
    <w:rsid w:val="00735621"/>
    <w:rsid w:val="00820679"/>
    <w:rsid w:val="00AA4DB2"/>
    <w:rsid w:val="00C221EA"/>
    <w:rsid w:val="00C61464"/>
    <w:rsid w:val="00C8735B"/>
    <w:rsid w:val="00E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-TableFooter">
    <w:name w:val="Poster-Table Footer"/>
    <w:basedOn w:val="Normal"/>
    <w:next w:val="Normal"/>
    <w:rsid w:val="00C8735B"/>
    <w:pPr>
      <w:tabs>
        <w:tab w:val="left" w:pos="187"/>
        <w:tab w:val="left" w:pos="1008"/>
      </w:tabs>
      <w:suppressAutoHyphens/>
      <w:spacing w:before="40" w:after="240" w:line="300" w:lineRule="auto"/>
      <w:ind w:left="187" w:hanging="187"/>
    </w:pPr>
    <w:rPr>
      <w:rFonts w:ascii="Times New Roman" w:eastAsia="Times New Roman" w:hAnsi="Times New Roman" w:cs="Times New Roman"/>
      <w:sz w:val="20"/>
      <w:szCs w:val="24"/>
      <w:lang w:eastAsia="ja-JP"/>
    </w:rPr>
  </w:style>
  <w:style w:type="paragraph" w:customStyle="1" w:styleId="Bullet1">
    <w:name w:val="Bullet 1"/>
    <w:basedOn w:val="Normal"/>
    <w:rsid w:val="00C8735B"/>
    <w:pPr>
      <w:numPr>
        <w:numId w:val="1"/>
      </w:numPr>
      <w:suppressAutoHyphens/>
      <w:spacing w:after="140" w:line="300" w:lineRule="auto"/>
      <w:contextualSpacing/>
    </w:pPr>
    <w:rPr>
      <w:rFonts w:ascii="Times New Roman" w:eastAsia="Times New Roman" w:hAnsi="Times New Roman" w:cs="Times New Roman"/>
      <w:iCs/>
      <w:sz w:val="24"/>
      <w:szCs w:val="24"/>
      <w:lang w:eastAsia="ja-JP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-TableFooter">
    <w:name w:val="Poster-Table Footer"/>
    <w:basedOn w:val="Normal"/>
    <w:next w:val="Normal"/>
    <w:rsid w:val="00C8735B"/>
    <w:pPr>
      <w:tabs>
        <w:tab w:val="left" w:pos="187"/>
        <w:tab w:val="left" w:pos="1008"/>
      </w:tabs>
      <w:suppressAutoHyphens/>
      <w:spacing w:before="40" w:after="240" w:line="300" w:lineRule="auto"/>
      <w:ind w:left="187" w:hanging="187"/>
    </w:pPr>
    <w:rPr>
      <w:rFonts w:ascii="Times New Roman" w:eastAsia="Times New Roman" w:hAnsi="Times New Roman" w:cs="Times New Roman"/>
      <w:sz w:val="20"/>
      <w:szCs w:val="24"/>
      <w:lang w:eastAsia="ja-JP"/>
    </w:rPr>
  </w:style>
  <w:style w:type="paragraph" w:customStyle="1" w:styleId="Bullet1">
    <w:name w:val="Bullet 1"/>
    <w:basedOn w:val="Normal"/>
    <w:rsid w:val="00C8735B"/>
    <w:pPr>
      <w:numPr>
        <w:numId w:val="1"/>
      </w:numPr>
      <w:suppressAutoHyphens/>
      <w:spacing w:after="140" w:line="300" w:lineRule="auto"/>
      <w:contextualSpacing/>
    </w:pPr>
    <w:rPr>
      <w:rFonts w:ascii="Times New Roman" w:eastAsia="Times New Roman" w:hAnsi="Times New Roman" w:cs="Times New Roman"/>
      <w:iCs/>
      <w:sz w:val="24"/>
      <w:szCs w:val="24"/>
      <w:lang w:eastAsia="ja-JP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7</cp:revision>
  <dcterms:created xsi:type="dcterms:W3CDTF">2016-08-23T18:46:00Z</dcterms:created>
  <dcterms:modified xsi:type="dcterms:W3CDTF">2016-08-31T22:34:00Z</dcterms:modified>
</cp:coreProperties>
</file>