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6AD" w:rsidRDefault="00AA3E0C" w:rsidP="00AA3E0C">
      <w:pPr>
        <w:pStyle w:val="BATitle"/>
      </w:pPr>
      <w:bookmarkStart w:id="0" w:name="_GoBack"/>
      <w:bookmarkEnd w:id="0"/>
      <w:r w:rsidRPr="00AA3E0C">
        <w:t>Predictive Endocrine Testing in the 21st Century Using In Vitro Assays of Estrogen Receptor Signaling Responses</w:t>
      </w:r>
    </w:p>
    <w:p w:rsidR="00AA3E0C" w:rsidRDefault="00AA3E0C" w:rsidP="00AA3E0C">
      <w:pPr>
        <w:pStyle w:val="BBAuthorName"/>
      </w:pPr>
      <w:r w:rsidRPr="00AA3E0C">
        <w:t xml:space="preserve">Daniel M. Rotroff </w:t>
      </w:r>
      <w:r w:rsidRPr="00AA3E0C">
        <w:rPr>
          <w:vertAlign w:val="superscript"/>
        </w:rPr>
        <w:t>†‡</w:t>
      </w:r>
      <w:r w:rsidR="00650E86">
        <w:rPr>
          <w:vertAlign w:val="superscript"/>
        </w:rPr>
        <w:t>#</w:t>
      </w:r>
      <w:r w:rsidRPr="00AA3E0C">
        <w:t>, Matt T. Martin</w:t>
      </w:r>
      <w:r w:rsidRPr="00AA3E0C">
        <w:rPr>
          <w:vertAlign w:val="superscript"/>
        </w:rPr>
        <w:t>‡</w:t>
      </w:r>
      <w:r w:rsidRPr="00AA3E0C">
        <w:t>, David J. Dix</w:t>
      </w:r>
      <w:r w:rsidRPr="00AA3E0C">
        <w:rPr>
          <w:vertAlign w:val="superscript"/>
        </w:rPr>
        <w:t>‡</w:t>
      </w:r>
      <w:r w:rsidRPr="00AA3E0C">
        <w:t>, Dayne L. Filer</w:t>
      </w:r>
      <w:r w:rsidRPr="00AA3E0C">
        <w:rPr>
          <w:vertAlign w:val="superscript"/>
        </w:rPr>
        <w:t>‡</w:t>
      </w:r>
      <w:r w:rsidRPr="00AA3E0C">
        <w:t>, Keith A. Houck</w:t>
      </w:r>
      <w:r w:rsidRPr="00AA3E0C">
        <w:rPr>
          <w:vertAlign w:val="superscript"/>
        </w:rPr>
        <w:t>‡</w:t>
      </w:r>
      <w:r w:rsidRPr="00AA3E0C">
        <w:t>, Thomas B. Knudsen</w:t>
      </w:r>
      <w:r w:rsidRPr="00AA3E0C">
        <w:rPr>
          <w:vertAlign w:val="superscript"/>
        </w:rPr>
        <w:t>‡</w:t>
      </w:r>
      <w:r w:rsidRPr="00AA3E0C">
        <w:t>, Nisha S. Sipes</w:t>
      </w:r>
      <w:r w:rsidRPr="00AA3E0C">
        <w:rPr>
          <w:vertAlign w:val="superscript"/>
        </w:rPr>
        <w:t>‡</w:t>
      </w:r>
      <w:r w:rsidRPr="00AA3E0C">
        <w:t>, David M. Reif</w:t>
      </w:r>
      <w:r w:rsidRPr="00AA3E0C">
        <w:rPr>
          <w:vertAlign w:val="superscript"/>
        </w:rPr>
        <w:t>‡</w:t>
      </w:r>
      <w:r w:rsidRPr="00AA3E0C">
        <w:t>, Menghang Xia</w:t>
      </w:r>
      <w:r w:rsidRPr="00AA3E0C">
        <w:rPr>
          <w:vertAlign w:val="superscript"/>
        </w:rPr>
        <w:t>§</w:t>
      </w:r>
      <w:r w:rsidRPr="00AA3E0C">
        <w:t>, Ruili Huang</w:t>
      </w:r>
      <w:r w:rsidRPr="00AA3E0C">
        <w:rPr>
          <w:vertAlign w:val="superscript"/>
        </w:rPr>
        <w:t>§</w:t>
      </w:r>
      <w:r w:rsidRPr="00AA3E0C">
        <w:t>, Richard S. Judson</w:t>
      </w:r>
      <w:r w:rsidRPr="00AA3E0C">
        <w:rPr>
          <w:vertAlign w:val="superscript"/>
        </w:rPr>
        <w:t>‡,</w:t>
      </w:r>
      <w:r w:rsidRPr="00AA3E0C">
        <w:t>*</w:t>
      </w:r>
    </w:p>
    <w:p w:rsidR="00AA3E0C" w:rsidRPr="00CE45EB" w:rsidRDefault="00AA3E0C" w:rsidP="00AA3E0C">
      <w:pPr>
        <w:pStyle w:val="BCAuthorAddress"/>
        <w:rPr>
          <w:rStyle w:val="apple-style-span"/>
          <w:rFonts w:eastAsia="Batang"/>
        </w:rPr>
      </w:pPr>
      <w:r w:rsidRPr="00CE45EB">
        <w:rPr>
          <w:rFonts w:eastAsia="Batang"/>
          <w:color w:val="000000"/>
        </w:rPr>
        <w:t>†</w:t>
      </w:r>
      <w:r w:rsidRPr="00CE45EB">
        <w:rPr>
          <w:rFonts w:eastAsia="Batang"/>
        </w:rPr>
        <w:t>Department of Environmental Sciences and Engineering, University of North Carolina, Chapel Hill, NC 27514</w:t>
      </w:r>
    </w:p>
    <w:p w:rsidR="00AA3E0C" w:rsidRDefault="00AA3E0C" w:rsidP="00AA3E0C">
      <w:pPr>
        <w:pStyle w:val="BCAuthorAddress"/>
        <w:rPr>
          <w:rFonts w:eastAsia="Batang"/>
          <w:color w:val="000000"/>
        </w:rPr>
      </w:pPr>
    </w:p>
    <w:p w:rsidR="00AA3E0C" w:rsidRPr="00CE45EB" w:rsidRDefault="00AA3E0C" w:rsidP="00AA3E0C">
      <w:pPr>
        <w:pStyle w:val="BCAuthorAddress"/>
        <w:rPr>
          <w:rFonts w:eastAsia="Batang"/>
        </w:rPr>
      </w:pPr>
      <w:r w:rsidRPr="004E3CF9">
        <w:rPr>
          <w:rStyle w:val="apple-style-span"/>
          <w:color w:val="000000"/>
          <w:vertAlign w:val="superscript"/>
        </w:rPr>
        <w:t>‡</w:t>
      </w:r>
      <w:r w:rsidRPr="00CE45EB">
        <w:rPr>
          <w:rFonts w:eastAsia="Batang"/>
        </w:rPr>
        <w:t xml:space="preserve">United States Environmental Protection Agency, Office of Research and Development, National Center for Computational Toxicology, Research Triangle Park, NC  27711; rotroff.daniel@epa.gov; </w:t>
      </w:r>
      <w:r w:rsidRPr="009163EF">
        <w:rPr>
          <w:rFonts w:eastAsia="Batang"/>
        </w:rPr>
        <w:t>martin.matt@epa.gov</w:t>
      </w:r>
      <w:r w:rsidRPr="00CE45EB">
        <w:rPr>
          <w:rFonts w:eastAsia="Batang"/>
        </w:rPr>
        <w:t>;</w:t>
      </w:r>
      <w:r>
        <w:rPr>
          <w:rFonts w:eastAsia="Batang"/>
        </w:rPr>
        <w:t xml:space="preserve"> </w:t>
      </w:r>
      <w:r w:rsidRPr="00CE45EB">
        <w:rPr>
          <w:rFonts w:eastAsia="Batang"/>
        </w:rPr>
        <w:t xml:space="preserve">dix.david@epa.gov; </w:t>
      </w:r>
      <w:r w:rsidRPr="00A545F2">
        <w:rPr>
          <w:rFonts w:eastAsia="Batang"/>
        </w:rPr>
        <w:t>filer.dayne@epa.gov</w:t>
      </w:r>
      <w:r>
        <w:rPr>
          <w:rFonts w:eastAsia="Batang"/>
        </w:rPr>
        <w:t xml:space="preserve">; </w:t>
      </w:r>
      <w:r w:rsidRPr="00CE45EB">
        <w:rPr>
          <w:rFonts w:eastAsia="Batang"/>
        </w:rPr>
        <w:t>houck.keith@epa.gov; knudsen.thom</w:t>
      </w:r>
      <w:r>
        <w:rPr>
          <w:rFonts w:eastAsia="Batang"/>
        </w:rPr>
        <w:t xml:space="preserve">as@epa.gov; </w:t>
      </w:r>
      <w:r w:rsidRPr="00CE45EB">
        <w:rPr>
          <w:rFonts w:eastAsia="Batang"/>
        </w:rPr>
        <w:t xml:space="preserve">reif.david@epa.gov; judson.richard@epa.gov </w:t>
      </w:r>
    </w:p>
    <w:p w:rsidR="00AA3E0C" w:rsidRDefault="00AA3E0C" w:rsidP="00AA3E0C">
      <w:pPr>
        <w:pStyle w:val="BCAuthorAddress"/>
        <w:rPr>
          <w:rStyle w:val="apple-style-span"/>
          <w:color w:val="000000"/>
        </w:rPr>
      </w:pPr>
    </w:p>
    <w:p w:rsidR="00AA3E0C" w:rsidRPr="00AD7D31" w:rsidRDefault="00AA3E0C" w:rsidP="00AA3E0C">
      <w:pPr>
        <w:pStyle w:val="BCAuthorAddress"/>
        <w:rPr>
          <w:b/>
        </w:rPr>
      </w:pPr>
      <w:r w:rsidRPr="00331C02">
        <w:rPr>
          <w:rStyle w:val="apple-style-span"/>
          <w:color w:val="000000"/>
          <w:vertAlign w:val="superscript"/>
        </w:rPr>
        <w:t>§</w:t>
      </w:r>
      <w:r>
        <w:rPr>
          <w:rFonts w:eastAsia="Batang"/>
        </w:rPr>
        <w:t xml:space="preserve"> </w:t>
      </w:r>
      <w:r>
        <w:t>National Center for Advancing Translational Sciences</w:t>
      </w:r>
      <w:r w:rsidRPr="0002340C">
        <w:t>, National Institutes of Health, Bethesda, M</w:t>
      </w:r>
      <w:r>
        <w:t>aryland</w:t>
      </w:r>
      <w:r w:rsidRPr="0002340C">
        <w:t>, USA</w:t>
      </w:r>
      <w:r>
        <w:t xml:space="preserve">; </w:t>
      </w:r>
      <w:r w:rsidRPr="00CE45EB">
        <w:rPr>
          <w:rStyle w:val="apple-style-span"/>
          <w:b/>
        </w:rPr>
        <w:t xml:space="preserve"> </w:t>
      </w:r>
    </w:p>
    <w:p w:rsidR="00AB34C5" w:rsidRDefault="00AA3E0C" w:rsidP="00AA3E0C">
      <w:pPr>
        <w:pStyle w:val="BGKeywords"/>
      </w:pPr>
      <w:r w:rsidRPr="00500853">
        <w:rPr>
          <w:rStyle w:val="apple-style-span"/>
        </w:rPr>
        <w:lastRenderedPageBreak/>
        <w:t>High-Throughput, Endocrine, Estrogen, ToxCast, In Vitro</w:t>
      </w:r>
    </w:p>
    <w:p w:rsidR="00AA3E0C" w:rsidRPr="00AA3E0C" w:rsidRDefault="00AA3E0C" w:rsidP="00AA3E0C">
      <w:pPr>
        <w:pStyle w:val="BDAbstract"/>
        <w:rPr>
          <w:b/>
        </w:rPr>
      </w:pPr>
      <w:r w:rsidRPr="00AA3E0C">
        <w:rPr>
          <w:b/>
        </w:rPr>
        <w:t>Abstract</w:t>
      </w:r>
    </w:p>
    <w:p w:rsidR="00AA3E0C" w:rsidRDefault="00AA3E0C" w:rsidP="00AA3E0C">
      <w:pPr>
        <w:pStyle w:val="BDAbstract"/>
      </w:pPr>
      <w:r w:rsidRPr="00302919">
        <w:t xml:space="preserve">Thousands of environmental chemicals </w:t>
      </w:r>
      <w:r>
        <w:t xml:space="preserve">are </w:t>
      </w:r>
      <w:r w:rsidRPr="00302919">
        <w:t xml:space="preserve">subject to regulatory </w:t>
      </w:r>
      <w:r>
        <w:t>review</w:t>
      </w:r>
      <w:r w:rsidRPr="00302919">
        <w:t xml:space="preserve"> for </w:t>
      </w:r>
      <w:r>
        <w:t xml:space="preserve">their potential to be </w:t>
      </w:r>
      <w:r w:rsidRPr="00302919">
        <w:t>endocrine disrupt</w:t>
      </w:r>
      <w:r>
        <w:t>ors (ED)</w:t>
      </w:r>
      <w:r w:rsidRPr="00302919">
        <w:t xml:space="preserve">. </w:t>
      </w:r>
      <w:r>
        <w:rPr>
          <w:i/>
        </w:rPr>
        <w:t xml:space="preserve">In vitro </w:t>
      </w:r>
      <w:r>
        <w:t>h</w:t>
      </w:r>
      <w:r w:rsidRPr="00302919">
        <w:t xml:space="preserve">igh-throughput screening </w:t>
      </w:r>
      <w:r>
        <w:t xml:space="preserve">(HTS) </w:t>
      </w:r>
      <w:r w:rsidRPr="00302919">
        <w:t xml:space="preserve">assays have emerged as a </w:t>
      </w:r>
      <w:r>
        <w:t>potential</w:t>
      </w:r>
      <w:r w:rsidRPr="00302919">
        <w:t xml:space="preserve"> tool for prioritiz</w:t>
      </w:r>
      <w:r>
        <w:t>ing chemicals for ED-related whole-animal tests</w:t>
      </w:r>
      <w:r w:rsidRPr="00302919">
        <w:t xml:space="preserve">. </w:t>
      </w:r>
      <w:r>
        <w:t>In this study, 1814 chemicals including</w:t>
      </w:r>
      <w:r w:rsidRPr="00302919">
        <w:t xml:space="preserve"> </w:t>
      </w:r>
      <w:r>
        <w:t>pesticide active and inert ingredients, industrial chemicals, food additives, and pharmaceuticals</w:t>
      </w:r>
      <w:r w:rsidRPr="00302919">
        <w:t xml:space="preserve"> </w:t>
      </w:r>
      <w:r>
        <w:t xml:space="preserve">were evaluated </w:t>
      </w:r>
      <w:r w:rsidRPr="00302919">
        <w:t>in a panel of 1</w:t>
      </w:r>
      <w:r>
        <w:t>3</w:t>
      </w:r>
      <w:r w:rsidRPr="00302919">
        <w:t xml:space="preserve"> </w:t>
      </w:r>
      <w:r>
        <w:rPr>
          <w:i/>
        </w:rPr>
        <w:t xml:space="preserve">in vitro </w:t>
      </w:r>
      <w:r>
        <w:t xml:space="preserve">HTS </w:t>
      </w:r>
      <w:r w:rsidRPr="00302919">
        <w:t>assays</w:t>
      </w:r>
      <w:r>
        <w:t xml:space="preserve">.  The panel of </w:t>
      </w:r>
      <w:r>
        <w:rPr>
          <w:i/>
        </w:rPr>
        <w:t>in vitro</w:t>
      </w:r>
      <w:r>
        <w:t xml:space="preserve"> assays interrogated multiple endpoints related to estrogen receptor (ER) signaling, namely binding, agonist, antagonist and cell growth responses.  The results from the </w:t>
      </w:r>
      <w:r>
        <w:rPr>
          <w:i/>
        </w:rPr>
        <w:t xml:space="preserve">in vitro </w:t>
      </w:r>
      <w:r>
        <w:t>assays were used to create an ER Interaction Score.  For 36 reference chemicals, an ER Interaction Score &gt; 0 showed 100% sensitivity and 87.5% specificity for classifying potential ER activity.  The magnitude of the ER Interaction Score was significantly related to the potency classification of the reference chemicals (</w:t>
      </w:r>
      <w:r>
        <w:rPr>
          <w:i/>
        </w:rPr>
        <w:t>p</w:t>
      </w:r>
      <w:r>
        <w:t xml:space="preserve">&lt;0.0001).  ERα/ERβ selectivity was also evaluated, but relatively few chemicals showed significant selectivity for a specific isoform. When applied to a broader set of chemicals with </w:t>
      </w:r>
      <w:r>
        <w:rPr>
          <w:i/>
        </w:rPr>
        <w:t>in vivo</w:t>
      </w:r>
      <w:r>
        <w:t xml:space="preserve"> uterotrophic data, the ER Interaction Scores </w:t>
      </w:r>
      <w:r w:rsidRPr="005B210B">
        <w:t>showed 91% sensitivity and 65% specificity.</w:t>
      </w:r>
      <w:r>
        <w:t xml:space="preserve">  Overall, this study provides a novel method for combining </w:t>
      </w:r>
      <w:r>
        <w:rPr>
          <w:i/>
        </w:rPr>
        <w:t xml:space="preserve">in vitro </w:t>
      </w:r>
      <w:r>
        <w:t>concentration response</w:t>
      </w:r>
      <w:r>
        <w:rPr>
          <w:i/>
        </w:rPr>
        <w:t xml:space="preserve"> </w:t>
      </w:r>
      <w:r>
        <w:t xml:space="preserve">data from multiple assays, and when applied to a large set of ER data, accurately predicted estrogenic responses and demonstrated its utility for chemical prioritization. </w:t>
      </w:r>
    </w:p>
    <w:p w:rsidR="00AA3E0C" w:rsidRPr="00AA3E0C" w:rsidRDefault="00AA3E0C" w:rsidP="00AA3E0C">
      <w:pPr>
        <w:pStyle w:val="TAMainText"/>
        <w:rPr>
          <w:b/>
        </w:rPr>
      </w:pPr>
      <w:r w:rsidRPr="00AA3E0C">
        <w:rPr>
          <w:b/>
        </w:rPr>
        <w:t>Introduction</w:t>
      </w:r>
    </w:p>
    <w:p w:rsidR="00AA3E0C" w:rsidRDefault="00AA3E0C" w:rsidP="00AA3E0C">
      <w:pPr>
        <w:pStyle w:val="TAMainText"/>
      </w:pPr>
      <w:r w:rsidRPr="00302919">
        <w:tab/>
      </w:r>
      <w:r>
        <w:t>E</w:t>
      </w:r>
      <w:r w:rsidRPr="00302919">
        <w:t>strogen receptor</w:t>
      </w:r>
      <w:r>
        <w:t>s (ER) mediate</w:t>
      </w:r>
      <w:r w:rsidRPr="00302919">
        <w:t xml:space="preserve"> a vast array of physiological responses through a highly complex network of signaling mechanisms</w:t>
      </w:r>
      <w:r>
        <w:fldChar w:fldCharType="begin"/>
      </w:r>
      <w:r>
        <w:instrText xml:space="preserve"> ADDIN ZOTERO_ITEM CSL_CITATION {"citationID":"5t635sgf3","properties":{"formattedCitation":"{\\rtf \\super 1,2\\nosupersub{}}","plainCitation":"1,2"},"citationItems":[{"id":748,"uris":["http://zotero.org/users/1283946/items/THAAC43Q"],"uri":["http://zotero.org/users/1283946/items/THAAC43Q"],"itemData":{"id":748,"type":"article-journal","title":"Estrogen Receptor Null Mice: What Have We Learned and Where Will They Lead Us?","container-title":"Endocrine Reviews","page":"358-417","volume":"20","issue":"3","source":"CrossRef","DOI":"10.1210/er.20.3.358","ISSN":"0163-769X","shortTitle":"Estrogen Receptor Null Mice","author":[{"family":"Couse","given":"J. F."}],"issued":{"date-parts":[["1999",6,1]]},"accessed":{"date-parts":[["2013",9,21]]}}},{"id":750,"uris":["http://zotero.org/users/1283946/items/A7NR6FIM"],"uri":["http://zotero.org/users/1283946/items/A7NR6FIM"],"itemData":{"id":750,"type":"article-journal","title":"Estrogen synthesis and signaling pathways during aging: from periphery to brain","container-title":"Trends in molecular medicine","page":"197-209","volume":"19","issue":"3","source":"NCBI PubMed","abstract":"Estrogens are the primary female sex hormones and play important roles in both reproductive and non-reproductive systems. Estrogens can be synthesized in non-reproductive tissues such as liver, heart, muscle, bone and brain, and tissue-specific estrogen synthesis is consistent with a diversity of estrogen actions. In this article we review tissue and cell-specific estrogen synthesis and estrogen receptor signaling in three parts: (i) synthesis and metabolism, (ii) the distribution of estrogen receptors and signaling, and (iii) estrogen functions and related disorders, including cardiovascular diseases, osteoporosis, Alzheimer's disease (AD), and Parkinson disease (PD). This comprehensive review provides new insights into estrogens by giving a better understanding of the tissue-specific estrogen effects and their roles in various diseases.","DOI":"10.1016/j.molmed.2012.12.007","ISSN":"1471-499X","note":"PMID: 23348042","shortTitle":"Estrogen synthesis and signaling pathways during aging","journalAbbreviation":"Trends Mol Med","language":"eng","author":[{"family":"Cui","given":"Jie"},{"family":"Shen","given":"Yong"},{"family":"Li","given":"Rena"}],"issued":{"date-parts":[["2013",3]]},"PMID":"23348042"}}],"schema":"https://github.com/citation-style-language/schema/raw/master/csl-citation.json"} </w:instrText>
      </w:r>
      <w:r>
        <w:fldChar w:fldCharType="separate"/>
      </w:r>
      <w:r w:rsidRPr="0092657A">
        <w:rPr>
          <w:vertAlign w:val="superscript"/>
        </w:rPr>
        <w:t>1,2</w:t>
      </w:r>
      <w:r>
        <w:fldChar w:fldCharType="end"/>
      </w:r>
      <w:r w:rsidRPr="00302919">
        <w:t xml:space="preserve">. </w:t>
      </w:r>
      <w:r>
        <w:t xml:space="preserve">They are </w:t>
      </w:r>
      <w:r w:rsidRPr="004244A9">
        <w:t>essential for sexual development</w:t>
      </w:r>
      <w:r>
        <w:t>,</w:t>
      </w:r>
      <w:r w:rsidRPr="004244A9">
        <w:t xml:space="preserve"> reproductive function</w:t>
      </w:r>
      <w:r>
        <w:t>, and</w:t>
      </w:r>
      <w:r w:rsidRPr="004244A9">
        <w:t xml:space="preserve"> </w:t>
      </w:r>
      <w:r>
        <w:t xml:space="preserve">have important physiological roles </w:t>
      </w:r>
      <w:r w:rsidRPr="004244A9">
        <w:t>in other tissues such as bone</w:t>
      </w:r>
      <w:r>
        <w:t xml:space="preserve"> and </w:t>
      </w:r>
      <w:r>
        <w:lastRenderedPageBreak/>
        <w:t>the central nervous system</w:t>
      </w:r>
      <w:r w:rsidRPr="004244A9">
        <w:t>. Estrogen receptors are also involved in pathological processes including breast cancer, endometrial cancer, and osteoporosis</w:t>
      </w:r>
      <w:r>
        <w:t xml:space="preserve"> </w:t>
      </w:r>
      <w:r>
        <w:fldChar w:fldCharType="begin"/>
      </w:r>
      <w:r>
        <w:instrText xml:space="preserve"> ADDIN ZOTERO_ITEM CSL_CITATION {"citationID":"68ja0leq0","properties":{"formattedCitation":"{\\rtf \\super 3\\uc0\\u8211{}5\\nosupersub{}}","plainCitation":"3–5"},"citationItems":[{"id":2,"uris":["http://zotero.org/users/1283946/items/2AFPBFSP"],"uri":["http://zotero.org/users/1283946/items/2AFPBFSP"],"itemData":{"id":2,"type":"article-journal","title":"Cancer and developmental exposure to endocrine disruptors.","container-title":"Environmental health perspectives","page":"389","volume":"111","issue":"4","source":"Google Scholar","author":[{"family":"Birnbaum","given":"Linda S."},{"family":"Fenton","given":"Suzanne E."}],"issued":{"date-parts":[["2003"]]},"accessed":{"date-parts":[["2013",3,27]]}}},{"id":37,"uris":["http://zotero.org/users/1283946/items/56PNRDTK"],"uri":["http://zotero.org/users/1283946/items/56PNRDTK"],"itemData":{"id":37,"type":"article-journal","title":"Environmental causes of cancer: endocrine disruptors as carcinogens","container-title":"Nature Reviews Endocrinology","page":"363–370","volume":"6","issue":"7","source":"Google Scholar","shortTitle":"Environmental causes of cancer","author":[{"family":"Soto","given":"A. M."},{"family":"Sonnenschein","given":"C."}],"issued":{"date-parts":[["2010"]]},"accessed":{"date-parts":[["2013",2,3]]}}},{"id":682,"uris":["http://zotero.org/users/1283946/items/U56EKHDD"],"uri":["http://zotero.org/users/1283946/items/U56EKHDD"],"itemData":{"id":682,"type":"article-journal","title":"The molecular mechanisms underlying the pharmacological actions of estrogens, SERMs and oxysterols: Implications for the treatment and prevention of osteoporosis","container-title":"Bone","page":"42-50","volume":"53","issue":"1","source":"ScienceDirect","abstract":"Abstract\nEstrogen therapy and hormone therapy are effective options for the prevention and treatment of osteoporosis, although because of their significant side effect profile, long term use for these applications is not recommended. Whereas SERMs (Selective Estrogen Receptor Modulators) exhibit a more favorable side effect profile, the currently available medicines in this class are substantially less effective in bone than classical estrogens. However, the results of substantial efforts that have gone into defining the mechanisms that underlie the pharmacology of estrogens, antiestrogens and SERMs have informed the development of the next generation of SERMs and have led to the development of TSECs (Tissue Selective Estrogen Complexes), a new class of ER-modulator. Further, the recent determination that the oxysterol 27-hydroxycholesterol functions as an endogenous SERM has highlighted an unexpected link between hypercholesterolemia and bone biology and must be considered in any discussions of ER-pharmacology. This review considers the most recent progress in our understanding of ER pharmacology and how this has and will be translated into new medicines for the treatment and prevention of osteoporosis.","DOI":"10.1016/j.bone.2012.11.011","ISSN":"8756-3282","shortTitle":"The molecular mechanisms underlying the pharmacological actions of estrogens, SERMs and oxysterols","journalAbbreviation":"Bone","author":[{"family":"Nelson","given":"Erik R."},{"family":"Wardell","given":"Suzanne E."},{"family":"McDonnell","given":"Donald P."}],"issued":{"date-parts":[["2013",3]]},"accessed":{"date-parts":[["2013",11,6]]}}}],"schema":"https://github.com/citation-style-language/schema/raw/master/csl-citation.json"} </w:instrText>
      </w:r>
      <w:r>
        <w:fldChar w:fldCharType="separate"/>
      </w:r>
      <w:r w:rsidRPr="00E76DA8">
        <w:rPr>
          <w:vertAlign w:val="superscript"/>
        </w:rPr>
        <w:t>3–5</w:t>
      </w:r>
      <w:r>
        <w:fldChar w:fldCharType="end"/>
      </w:r>
      <w:r w:rsidRPr="004244A9">
        <w:t>.</w:t>
      </w:r>
      <w:r>
        <w:t xml:space="preserve"> </w:t>
      </w:r>
      <w:r w:rsidRPr="00302919">
        <w:t>Disruption of ER signaling</w:t>
      </w:r>
      <w:r>
        <w:t>, either directly or through altering</w:t>
      </w:r>
      <w:r w:rsidRPr="00302919">
        <w:t xml:space="preserve"> estrogen biosynthesis</w:t>
      </w:r>
      <w:r>
        <w:t>,</w:t>
      </w:r>
      <w:r w:rsidRPr="00302919">
        <w:t xml:space="preserve"> has been shown to cause adverse effects on reproductive success and fetal development</w:t>
      </w:r>
      <w:r>
        <w:t xml:space="preserve"> </w:t>
      </w:r>
      <w:r w:rsidRPr="00302919">
        <w:fldChar w:fldCharType="begin"/>
      </w:r>
      <w:r>
        <w:instrText xml:space="preserve"> ADDIN ZOTERO_ITEM CSL_CITATION {"citationID":"zvgwrOsx","properties":{"formattedCitation":"{\\rtf \\super 3,4,6\\uc0\\u8211{}9\\nosupersub{}}","plainCitation":"3,4,6–9"},"citationItems":[{"id":2,"uris":["http://zotero.org/users/1283946/items/2AFPBFSP"],"uri":["http://zotero.org/users/1283946/items/2AFPBFSP"],"itemData":{"id":2,"type":"article-journal","title":"Cancer and developmental exposure to endocrine disruptors.","container-title":"Environmental health perspectives","page":"389","volume":"111","issue":"4","source":"Google Scholar","author":[{"family":"Birnbaum","given":"Linda S."},{"family":"Fenton","given":"Suzanne E."}],"issued":{"date-parts":[["2003"]]},"accessed":{"date-parts":[["2013",3,27]]}}},{"id":66,"uris":["http://zotero.org/users/1283946/items/8IJEQIC4"],"uri":["http://zotero.org/users/1283946/items/8IJEQIC4"],"itemData":{"id":66,"type":"article-journal","title":"Endocrine disruptors and reproductive development: a weight-of-evidence overview","container-title":"Journal of Endocrinology","page":"159–166","volume":"152","issue":"2","source":"Google Scholar","shortTitle":"Endocrine disruptors and reproductive development","author":[{"family":"Cooper","given":"Ralph L."},{"family":"Kavlock","given":"Robert J."}],"issued":{"date-parts":[["1997"]]},"accessed":{"date-parts":[["2013",3,4]]}}},{"id":299,"uris":["http://zotero.org/users/1283946/items/ZJXAPXN4"],"uri":["http://zotero.org/users/1283946/items/ZJXAPXN4"],"itemData":{"id":299,"type":"article-journal","title":"Evaluating the effects of endocrine disruptors on endocrine function during development.","container-title":"Environmental Health Perspectives","page":"613","volume":"107","issue":"Suppl 4","source":"Google Scholar","author":[{"family":"Bigsby","given":"Robert"},{"family":"Chapin","given":"Robert E."},{"family":"Daston","given":"George P."},{"family":"Davis","given":"Barbara J."},{"family":"Gorski","given":"Jack"},{"family":"Gray","given":"L. Earl"},{"family":"Howdeshell","given":"Kembra L."},{"family":"Zoeller","given":"R. Thomas"},{"family":"vom Saal","given":"Frederick S."}],"issued":{"date-parts":[["1999"]]},"accessed":{"date-parts":[["2013",3,27]]}}},{"id":41,"uris":["http://zotero.org/users/1283946/items/5KXEUJX3"],"uri":["http://zotero.org/users/1283946/items/5KXEUJX3"],"itemData":{"id":41,"type":"article-journal","title":"Research needs for the risk assessment of health and environmental effects of endocrine disruptors: a report of the US EPA-sponsored workshop.","container-title":"Environmental health perspectives","page":"715","volume":"104","issue":"Suppl 4","source":"Google Scholar","shortTitle":"Research needs for the risk assessment of health and environmental effects of endocrine disruptors","author":[{"family":"Kavlock","given":"Robert J."},{"family":"Daston","given":"George P."},{"family":"DeRosa","given":"Chris"},{"family":"Fenner-Crisp","given":"Penny"},{"family":"Gray","given":"L. Earl"},{"family":"Kaattari","given":"Steve"},{"family":"Lucier","given":"George"},{"family":"Luster","given":"Michael"},{"family":"Mac","given":"Michael J."},{"family":"Maczka","given":"Carol"}],"issued":{"date-parts":[["1996"]]},"accessed":{"date-parts":[["2013",3,27]]}}},{"id":11,"uris":["http://zotero.org/users/1283946/items/2K3D879V"],"uri":["http://zotero.org/users/1283946/items/2K3D879V"],"itemData":{"id":11,"type":"article-journal","title":"Developmental programming: impact of fetal exposure to endocrine-disrupting chemicals on gonadotropin-releasing hormone and estrogen receptor mRNA in sheep hypothalamus","container-title":"Toxicology and applied pharmacology","page":"98–104","volume":"247","issue":"2","source":"Google Scholar","shortTitle":"Developmental programming","author":[{"family":"Mahoney","given":"Megan M."},{"family":"Padmanabhan","given":"Vasantha"}],"issued":{"date-parts":[["2010"]]},"accessed":{"date-parts":[["2013",3,27]]}}},{"id":37,"uris":["http://zotero.org/users/1283946/items/56PNRDTK"],"uri":["http://zotero.org/users/1283946/items/56PNRDTK"],"itemData":{"id":37,"type":"article-journal","title":"Environmental causes of cancer: endocrine disruptors as carcinogens","container-title":"Nature Reviews Endocrinology","page":"363–370","volume":"6","issue":"7","source":"Google Scholar","shortTitle":"Environmental causes of cancer","author":[{"family":"Soto","given":"A. M."},{"family":"Sonnenschein","given":"C."}],"issued":{"date-parts":[["2010"]]},"accessed":{"date-parts":[["2013",2,3]]}}}],"schema":"https://github.com/citation-style-language/schema/raw/master/csl-citation.json"} </w:instrText>
      </w:r>
      <w:r w:rsidRPr="00302919">
        <w:fldChar w:fldCharType="separate"/>
      </w:r>
      <w:r w:rsidRPr="00E76DA8">
        <w:rPr>
          <w:vertAlign w:val="superscript"/>
        </w:rPr>
        <w:t>3,4,6–9</w:t>
      </w:r>
      <w:r w:rsidRPr="00302919">
        <w:fldChar w:fldCharType="end"/>
      </w:r>
      <w:r w:rsidRPr="00302919">
        <w:t xml:space="preserve">. </w:t>
      </w:r>
    </w:p>
    <w:p w:rsidR="00AA3E0C" w:rsidRPr="00505C54" w:rsidRDefault="00AA3E0C" w:rsidP="00AA3E0C">
      <w:pPr>
        <w:pStyle w:val="TAMainText"/>
      </w:pPr>
      <w:r>
        <w:t xml:space="preserve">Due to the potential consequences of disrupting ER signaling, there is a regulatory need to integrate existing knowledge and to develop prioritization tools capable of testing thousands of chemicals that span a broad range of chemical classes for potential estrogenicity (e.g., industrial chemicals, food additives, cosmetic ingredients, pesticides) </w:t>
      </w:r>
      <w:r>
        <w:fldChar w:fldCharType="begin"/>
      </w:r>
      <w:r>
        <w:instrText xml:space="preserve"> ADDIN ZOTERO_ITEM CSL_CITATION {"citationID":"18l4vd97i5","properties":{"formattedCitation":"{\\rtf \\super 10\\nosupersub{}}","plainCitation":"10"},"citationItems":[{"id":732,"uris":["http://zotero.org/users/1283946/items/89XB4AE6"],"uri":["http://zotero.org/users/1283946/items/89XB4AE6"],"itemData":{"id":732,"type":"article","title":"Endocrine Disruptor Screening Program: Universe of Chemicals and General Validation Principles","URL":"www.epa.gov/endo/pubs/edsp_chemical_universe_and_general_validations_white_paper_11_12.pdf","author":[{"family":"U.S. EPA","given":""}],"issued":{"date-parts":[["2012"]]}}}],"schema":"https://github.com/citation-style-language/schema/raw/master/csl-citation.json"} </w:instrText>
      </w:r>
      <w:r>
        <w:fldChar w:fldCharType="separate"/>
      </w:r>
      <w:r w:rsidRPr="00E76DA8">
        <w:rPr>
          <w:vertAlign w:val="superscript"/>
        </w:rPr>
        <w:t>10</w:t>
      </w:r>
      <w:r>
        <w:fldChar w:fldCharType="end"/>
      </w:r>
      <w:r>
        <w:t xml:space="preserve">.  Using </w:t>
      </w:r>
      <w:r>
        <w:rPr>
          <w:i/>
        </w:rPr>
        <w:t>in vitro</w:t>
      </w:r>
      <w:r>
        <w:t xml:space="preserve"> assays has been proposed as a means to efficiently address the regulatory requirements; however, the complexity of the ER signaling pathway presents multiple challenges. First, there exists two isoforms of ER that are both </w:t>
      </w:r>
      <w:r w:rsidRPr="00302919">
        <w:t>cell</w:t>
      </w:r>
      <w:r>
        <w:t>-</w:t>
      </w:r>
      <w:r w:rsidRPr="00302919">
        <w:t xml:space="preserve"> and tissue</w:t>
      </w:r>
      <w:r>
        <w:t>-</w:t>
      </w:r>
      <w:r w:rsidRPr="00302919">
        <w:t>type</w:t>
      </w:r>
      <w:r>
        <w:t xml:space="preserve"> specific</w:t>
      </w:r>
      <w:r w:rsidRPr="00302919">
        <w:t xml:space="preserve"> </w:t>
      </w:r>
      <w:r w:rsidRPr="00302919">
        <w:fldChar w:fldCharType="begin"/>
      </w:r>
      <w:r>
        <w:instrText xml:space="preserve"> ADDIN ZOTERO_ITEM CSL_CITATION {"citationID":"22emoara9l","properties":{"formattedCitation":"{\\rtf \\super 11,12\\nosupersub{}}","plainCitation":"11,12"},"citationItems":[{"id":275,"uris":["http://zotero.org/users/1283946/items/WPKU5A9I"],"uri":["http://zotero.org/users/1283946/items/WPKU5A9I"],"itemData":{"id":275,"type":"article-journal","title":"Localisation of oestrogen receptors (ERalpha and ERbeta) in the human and rat epididymides","container-title":"Folia Morphologica","page":"467–466","volume":"62","issue":"4","source":"Google Scholar","author":[{"family":"Kolasa","given":"Agnieszka"},{"family":"Wiszniewska","given":"Barbara"},{"family":"Marchlewicz","given":"Mariola"},{"family":"Wenda-Różewicka","given":"Lidia"}],"issued":{"date-parts":[["2003"]]},"accessed":{"date-parts":[["2013",3,27]]}}},{"id":214,"uris":["http://zotero.org/users/1283946/items/R4QDMG8B"],"uri":["http://zotero.org/users/1283946/items/R4QDMG8B"],"itemData":{"id":214,"type":"article-journal","title":"ERβ1 and the ERβ2 splice variant (ERβcx/β2) are expressed in distinct cell populations in the adult human testis","container-title":"Journal of Clinical Endocrinology &amp; Metabolism","page":"2706–2715","volume":"87","issue":"6","source":"Google Scholar","author":[{"family":"Saunders","given":"Philippa TK"},{"family":"Millar","given":"Michael R."},{"family":"Macpherson","given":"Sheila"},{"family":"Irvine","given":"D. Stewart"},{"family":"Groome","given":"Nigel P."},{"family":"Evans","given":"Lee R."},{"family":"Sharpe","given":"Richard M."},{"family":"Scobie","given":"Graeme A."}],"issued":{"date-parts":[["2002"]]},"accessed":{"date-parts":[["2013",3,27]]}}}],"schema":"https://github.com/citation-style-language/schema/raw/master/csl-citation.json"} </w:instrText>
      </w:r>
      <w:r w:rsidRPr="00302919">
        <w:fldChar w:fldCharType="separate"/>
      </w:r>
      <w:r w:rsidRPr="00E76DA8">
        <w:rPr>
          <w:vertAlign w:val="superscript"/>
        </w:rPr>
        <w:t>11,12</w:t>
      </w:r>
      <w:r w:rsidRPr="00302919">
        <w:fldChar w:fldCharType="end"/>
      </w:r>
      <w:r w:rsidRPr="00302919">
        <w:t xml:space="preserve">. </w:t>
      </w:r>
      <w:r>
        <w:t>T</w:t>
      </w:r>
      <w:r w:rsidRPr="00302919">
        <w:t xml:space="preserve">he two </w:t>
      </w:r>
      <w:r>
        <w:t>forms</w:t>
      </w:r>
      <w:r w:rsidRPr="00302919">
        <w:t xml:space="preserve"> of ER</w:t>
      </w:r>
      <w:r>
        <w:t xml:space="preserve"> </w:t>
      </w:r>
      <w:r w:rsidRPr="00302919">
        <w:t>(ERα and ERβ</w:t>
      </w:r>
      <w:r>
        <w:t>)</w:t>
      </w:r>
      <w:r w:rsidRPr="00302919">
        <w:t xml:space="preserve"> </w:t>
      </w:r>
      <w:r>
        <w:t>are encoded by distinct genes (ESR1 and ESR2</w:t>
      </w:r>
      <w:r w:rsidRPr="00302919">
        <w:t xml:space="preserve">) </w:t>
      </w:r>
      <w:r>
        <w:t>and can have</w:t>
      </w:r>
      <w:r w:rsidRPr="00302919">
        <w:t xml:space="preserve"> oppo</w:t>
      </w:r>
      <w:r>
        <w:t>sing</w:t>
      </w:r>
      <w:r w:rsidRPr="00302919">
        <w:t xml:space="preserve"> physiological effects. ERα activation generally results in a </w:t>
      </w:r>
      <w:r>
        <w:t xml:space="preserve">cell </w:t>
      </w:r>
      <w:r w:rsidRPr="00302919">
        <w:t xml:space="preserve">proliferative response, whereas ERβ activation generally results in an anti-proliferative and anti-inflammatory response </w:t>
      </w:r>
      <w:r w:rsidRPr="00302919">
        <w:fldChar w:fldCharType="begin"/>
      </w:r>
      <w:r>
        <w:instrText xml:space="preserve"> ADDIN ZOTERO_ITEM CSL_CITATION {"citationID":"1fakqn5118","properties":{"formattedCitation":"{\\rtf \\super 13,14\\nosupersub{}}","plainCitation":"13,14"},"citationItems":[{"id":274,"uris":["http://zotero.org/users/1283946/items/WMXVTE9G"],"uri":["http://zotero.org/users/1283946/items/WMXVTE9G"],"itemData":{"id":274,"type":"article-journal","title":"Estrogen receptor beta--a new dimension in estrogen mechanism of action","container-title":"Journal of Endocrinology","page":"379-383","volume":"163","issue":"3","source":"joe.endocrinology-journals.org","DOI":"10.1677/joe.0.1630379","ISSN":"0022-0795, 1479-6805","journalAbbreviation":"J Endocrinol","language":"en","author":[{"family":"Gustafsson","given":"J. A."}],"issued":{"date-parts":[["1999",12,1]]},"accessed":{"date-parts":[["2013",2,3]]}}},{"id":203,"uris":["http://zotero.org/users/1283946/items/PPMJHHD6"],"uri":["http://zotero.org/users/1283946/items/PPMJHHD6"],"itemData":{"id":203,"type":"article-journal","title":"Estrogen receptor beta (ERbeta) and inhibition of prostate cancer cell proliferation: studies on the possible mechanism of action in DU145 cells","container-title":"Molecular and cellular endocrinology","page":"46–54","volume":"263","issue":"1","source":"Google Scholar","shortTitle":"Estrogen receptor beta (ERbeta) and inhibition of prostate cancer cell proliferation","author":[{"family":"Pravettoni","given":"A."},{"family":"Mornati","given":"O."},{"family":"Martini","given":"P. G. V."},{"family":"Marino","given":"M."},{"family":"Colciago","given":"A."},{"family":"Celotti","given":"F."},{"family":"Motta","given":"M."},{"family":"Negri-Cesi","given":"P."}],"issued":{"date-parts":[["2007"]]},"accessed":{"date-parts":[["2013",2,3]]}}}],"schema":"https://github.com/citation-style-language/schema/raw/master/csl-citation.json"} </w:instrText>
      </w:r>
      <w:r w:rsidRPr="00302919">
        <w:fldChar w:fldCharType="separate"/>
      </w:r>
      <w:r w:rsidRPr="00E76DA8">
        <w:rPr>
          <w:vertAlign w:val="superscript"/>
        </w:rPr>
        <w:t>13,14</w:t>
      </w:r>
      <w:r w:rsidRPr="00302919">
        <w:fldChar w:fldCharType="end"/>
      </w:r>
      <w:r w:rsidRPr="00302919">
        <w:t>. Chemicals that bind to ER will often bind to both isoforms</w:t>
      </w:r>
      <w:r>
        <w:t>,</w:t>
      </w:r>
      <w:r w:rsidRPr="00302919">
        <w:t xml:space="preserve"> but with differential affinities </w:t>
      </w:r>
      <w:r w:rsidRPr="00302919">
        <w:fldChar w:fldCharType="begin"/>
      </w:r>
      <w:r>
        <w:instrText xml:space="preserve"> ADDIN ZOTERO_ITEM CSL_CITATION {"citationID":"1f39iab98a","properties":{"formattedCitation":"{\\rtf \\super 15\\nosupersub{}}","plainCitation":"15"},"citationItems":[{"id":246,"uris":["http://zotero.org/users/1283946/items/TKHB859U"],"uri":["http://zotero.org/users/1283946/items/TKHB859U"],"itemData":{"id":246,"type":"article-journal","title":"Comparison of the ligand binding specificity and transcript tissue distribution of estrogen receptors $\\alpha$ and $\\beta$","container-title":"Endocrinology","page":"863–870","volume":"138","issue":"3","source":"Google Scholar","author":[{"family":"Kuiper","given":"G. G. J. M."},{"family":"Carlsson","given":"B. O."},{"family":"Grandien","given":"K. A. J."},{"family":"Enmark","given":"E."},{"family":"Häggblad","given":"J."},{"family":"Nilsson","given":"S."},{"family":"Gustafsson","given":"J. \\AA"}],"issued":{"date-parts":[["1997"]]},"accessed":{"date-parts":[["2013",2,3]]}}}],"schema":"https://github.com/citation-style-language/schema/raw/master/csl-citation.json"} </w:instrText>
      </w:r>
      <w:r w:rsidRPr="00302919">
        <w:fldChar w:fldCharType="separate"/>
      </w:r>
      <w:r w:rsidRPr="00E76DA8">
        <w:rPr>
          <w:vertAlign w:val="superscript"/>
        </w:rPr>
        <w:t>15</w:t>
      </w:r>
      <w:r w:rsidRPr="00302919">
        <w:fldChar w:fldCharType="end"/>
      </w:r>
      <w:r w:rsidRPr="00302919">
        <w:t xml:space="preserve">. </w:t>
      </w:r>
      <w:r>
        <w:t>Second,</w:t>
      </w:r>
      <w:r w:rsidRPr="00302919">
        <w:t xml:space="preserve"> a growing body of evidence</w:t>
      </w:r>
      <w:r>
        <w:t xml:space="preserve"> </w:t>
      </w:r>
      <w:r w:rsidRPr="00302919">
        <w:t xml:space="preserve">suggests that many ER ligands are not </w:t>
      </w:r>
      <w:r>
        <w:t>strictly</w:t>
      </w:r>
      <w:r w:rsidRPr="00302919">
        <w:t xml:space="preserve"> agonists or antagonists, but that weak/partial agonists can act as antagonists under certain conditions </w:t>
      </w:r>
      <w:r w:rsidRPr="00302919">
        <w:fldChar w:fldCharType="begin"/>
      </w:r>
      <w:r>
        <w:instrText xml:space="preserve"> ADDIN ZOTERO_ITEM CSL_CITATION {"citationID":"1dun145v5p","properties":{"formattedCitation":"{\\rtf \\super 16\\nosupersub{}}","plainCitation":"16"},"citationItems":[{"id":155,"uris":["http://zotero.org/users/1283946/items/HXSGBTAX"],"uri":["http://zotero.org/users/1283946/items/HXSGBTAX"],"itemData":{"id":155,"type":"article-journal","title":"Molecular mechanisms of selective estrogen receptor modulator (SERM) action","container-title":"The Journal of pharmacology and experimental therapeutics","page":"431-437","volume":"295","issue":"2","source":"NCBI PubMed","abstract":"In females, estrogens play a key role in reproduction and have beneficial effects on the skeletal, cardiovascular, and central nervous systems. Most estrogenic responses are mediated by estrogen receptors (ERs), either ER alpha or ER beta, which are members of the nuclear receptor superfamily of ligand-dependent transcription factors. Selective estrogen receptor modulators (SERMs) are ER ligands that in some tissues act like estrogens, but block estrogen action in others. Thus, SERMs may exhibit an agonistic or antagonistic biocharacter depending on the context in which their activity is examined. For example, the SERMs tamoxifen and raloxifene both exhibit ER antagonist activity in breast and agonist activity in bone, but only tamoxifen manifests agonist activity in the uterus. Numerous studies have examined the molecular basis for SERM selectivity. Collectively they indicate that different ER ligands induce distinct structural changes in the receptor that influence its ability to interact with other proteins (e.g., coactivators or corepressors) critical for the regulation of target gene transcription. The relative expression of coactivators and corepressors, and the nature of the ER and of its target gene promoter affect SERM biocharacter. Taken together, SERM selectivity reflects the diversity of ER forms and coregulators, cell type differences in their expression, and the diversity of ER target genes. This model provides a basis for understanding the molecular mechanisms of SERM action, and should help identify new SERMs with enhanced tissue or target gene selectivity.","ISSN":"0022-3565","note":"PMID: 11046073","journalAbbreviation":"J. Pharmacol. Exp. Ther.","author":[{"family":"Dutertre","given":"M"},{"family":"Smith","given":"C L"}],"issued":{"date-parts":[["2000",11]]},"PMID":"11046073"}}],"schema":"https://github.com/citation-style-language/schema/raw/master/csl-citation.json"} </w:instrText>
      </w:r>
      <w:r w:rsidRPr="00302919">
        <w:fldChar w:fldCharType="separate"/>
      </w:r>
      <w:r w:rsidRPr="00E76DA8">
        <w:rPr>
          <w:vertAlign w:val="superscript"/>
        </w:rPr>
        <w:t>16</w:t>
      </w:r>
      <w:r w:rsidRPr="00302919">
        <w:fldChar w:fldCharType="end"/>
      </w:r>
      <w:r w:rsidRPr="00302919">
        <w:t>.</w:t>
      </w:r>
      <w:r>
        <w:t xml:space="preserve">  Finally, certain chemical classes are expected to yield false positive or false negative </w:t>
      </w:r>
      <w:r w:rsidR="008673CA">
        <w:t>results in</w:t>
      </w:r>
      <w:r>
        <w:t xml:space="preserve"> some </w:t>
      </w:r>
      <w:r>
        <w:rPr>
          <w:i/>
        </w:rPr>
        <w:t xml:space="preserve">in vitro </w:t>
      </w:r>
      <w:r>
        <w:t xml:space="preserve">assays due to assay-specific interference (e.g. issues with solubility, off-target effects, etc.). </w:t>
      </w:r>
    </w:p>
    <w:p w:rsidR="00AA3E0C" w:rsidRPr="00302919" w:rsidRDefault="00AA3E0C" w:rsidP="00AA3E0C">
      <w:pPr>
        <w:pStyle w:val="TAMainText"/>
      </w:pPr>
      <w:r>
        <w:t>To overcome the challenges outlined above, we integrated the r</w:t>
      </w:r>
      <w:r w:rsidRPr="00302919">
        <w:t>esults</w:t>
      </w:r>
      <w:r>
        <w:t xml:space="preserve"> from 13 ER related </w:t>
      </w:r>
      <w:r>
        <w:rPr>
          <w:i/>
        </w:rPr>
        <w:t xml:space="preserve">in vitro </w:t>
      </w:r>
      <w:r>
        <w:t>HTS assays from the EPA ToxCast program</w:t>
      </w:r>
      <w:r w:rsidRPr="00302919">
        <w:t xml:space="preserve"> </w:t>
      </w:r>
      <w:r>
        <w:t xml:space="preserve">into </w:t>
      </w:r>
      <w:r w:rsidRPr="00302919">
        <w:t>a</w:t>
      </w:r>
      <w:r>
        <w:t xml:space="preserve">n </w:t>
      </w:r>
      <w:r w:rsidRPr="00302919">
        <w:t xml:space="preserve">ER </w:t>
      </w:r>
      <w:r>
        <w:t>I</w:t>
      </w:r>
      <w:r w:rsidRPr="00302919">
        <w:t xml:space="preserve">nteraction </w:t>
      </w:r>
      <w:r>
        <w:t>S</w:t>
      </w:r>
      <w:r w:rsidRPr="00302919">
        <w:t xml:space="preserve">core </w:t>
      </w:r>
      <w:r>
        <w:t xml:space="preserve">that represents the overall likelihood of a chemical being estrogenic, and additionally yields quantitative scores for </w:t>
      </w:r>
      <w:r w:rsidRPr="00302919">
        <w:t xml:space="preserve">ERα/ERβ </w:t>
      </w:r>
      <w:r>
        <w:t xml:space="preserve">selectivity </w:t>
      </w:r>
      <w:r w:rsidRPr="00302919">
        <w:t xml:space="preserve">and </w:t>
      </w:r>
      <w:r>
        <w:t>agonist/antagonist</w:t>
      </w:r>
      <w:r w:rsidRPr="00302919">
        <w:t xml:space="preserve"> </w:t>
      </w:r>
      <w:r>
        <w:t>activity</w:t>
      </w:r>
      <w:r w:rsidRPr="00302919">
        <w:t>.</w:t>
      </w:r>
      <w:r>
        <w:t xml:space="preserve">  The ER Interaction Score was </w:t>
      </w:r>
      <w:r>
        <w:lastRenderedPageBreak/>
        <w:t>constructed based on t</w:t>
      </w:r>
      <w:r w:rsidRPr="00302919">
        <w:t xml:space="preserve">he </w:t>
      </w:r>
      <w:r>
        <w:t>canonical</w:t>
      </w:r>
      <w:r w:rsidRPr="00302919">
        <w:t xml:space="preserve"> E</w:t>
      </w:r>
      <w:r>
        <w:t>R signaling pathway, for the purpose of building a model that is capable of predicting and prioritizing chemicals for their potential to interfere with the ER signaling pathway. A c</w:t>
      </w:r>
      <w:r w:rsidRPr="00302919">
        <w:t xml:space="preserve">omparison </w:t>
      </w:r>
      <w:r>
        <w:t xml:space="preserve">of the </w:t>
      </w:r>
      <w:r>
        <w:rPr>
          <w:i/>
        </w:rPr>
        <w:t>in vitro-</w:t>
      </w:r>
      <w:r>
        <w:t>derived</w:t>
      </w:r>
      <w:r>
        <w:rPr>
          <w:i/>
        </w:rPr>
        <w:t xml:space="preserve"> </w:t>
      </w:r>
      <w:r>
        <w:t xml:space="preserve">ER Interaction Score with </w:t>
      </w:r>
      <w:r w:rsidRPr="00302919">
        <w:t xml:space="preserve">available </w:t>
      </w:r>
      <w:r w:rsidRPr="00302919">
        <w:rPr>
          <w:i/>
        </w:rPr>
        <w:t xml:space="preserve">in vivo </w:t>
      </w:r>
      <w:r w:rsidRPr="00302919">
        <w:t>data</w:t>
      </w:r>
      <w:r>
        <w:t>, for a subset of reference chemicals,</w:t>
      </w:r>
      <w:r w:rsidRPr="00302919">
        <w:t xml:space="preserve"> indicate that the </w:t>
      </w:r>
      <w:r>
        <w:t>approach</w:t>
      </w:r>
      <w:r w:rsidRPr="00302919">
        <w:t xml:space="preserve"> is capable of </w:t>
      </w:r>
      <w:r>
        <w:t xml:space="preserve">accurately </w:t>
      </w:r>
      <w:r w:rsidRPr="00302919">
        <w:t>predicting estrogenic</w:t>
      </w:r>
      <w:r>
        <w:t xml:space="preserve"> activity.</w:t>
      </w:r>
    </w:p>
    <w:p w:rsidR="00AA3E0C" w:rsidRPr="00AA3E0C" w:rsidRDefault="00AA3E0C" w:rsidP="00AA3E0C">
      <w:pPr>
        <w:pStyle w:val="TAMainText"/>
        <w:rPr>
          <w:b/>
        </w:rPr>
      </w:pPr>
      <w:bookmarkStart w:id="1" w:name="_Toc352762149"/>
      <w:r w:rsidRPr="00AA3E0C">
        <w:rPr>
          <w:b/>
        </w:rPr>
        <w:t>Materials and Methods</w:t>
      </w:r>
      <w:bookmarkEnd w:id="1"/>
      <w:r w:rsidRPr="00AA3E0C">
        <w:rPr>
          <w:b/>
        </w:rPr>
        <w:t xml:space="preserve"> </w:t>
      </w:r>
    </w:p>
    <w:p w:rsidR="00AA3E0C" w:rsidRDefault="00AA3E0C" w:rsidP="00AA3E0C">
      <w:pPr>
        <w:pStyle w:val="TAMainText"/>
      </w:pPr>
      <w:r w:rsidRPr="00302919">
        <w:rPr>
          <w:i/>
        </w:rPr>
        <w:t>Chemical Selection</w:t>
      </w:r>
      <w:r>
        <w:rPr>
          <w:i/>
        </w:rPr>
        <w:t>.</w:t>
      </w:r>
      <w:r>
        <w:t xml:space="preserve">  </w:t>
      </w:r>
      <w:r w:rsidRPr="00302919">
        <w:t xml:space="preserve">The present study was conducted using data from </w:t>
      </w:r>
      <w:r>
        <w:t>the</w:t>
      </w:r>
      <w:r w:rsidRPr="00302919">
        <w:t xml:space="preserve"> ToxCast chemical librar</w:t>
      </w:r>
      <w:r>
        <w:t>y</w:t>
      </w:r>
      <w:r w:rsidRPr="00302919">
        <w:t xml:space="preserve"> which consisted of </w:t>
      </w:r>
      <w:r>
        <w:t>~1800</w:t>
      </w:r>
      <w:r w:rsidRPr="00302919">
        <w:t xml:space="preserve"> unique chemicals. This inventory includes</w:t>
      </w:r>
      <w:r>
        <w:t xml:space="preserve"> pesticide active and inert ingredients, industrial chemicals, food additives, pharmaceuticals and other chemical classes.</w:t>
      </w:r>
      <w:r w:rsidRPr="00302919">
        <w:t xml:space="preserve"> </w:t>
      </w:r>
      <w:r>
        <w:t>C</w:t>
      </w:r>
      <w:r w:rsidRPr="00302919">
        <w:t xml:space="preserve">hemical library information </w:t>
      </w:r>
      <w:r>
        <w:t>including structures can be found at</w:t>
      </w:r>
      <w:r w:rsidRPr="001E4548">
        <w:t xml:space="preserve"> </w:t>
      </w:r>
      <w:r w:rsidRPr="00045105">
        <w:t>http://epa.gov/ncct/dsstox/sdf_toxcst.html</w:t>
      </w:r>
      <w:r w:rsidRPr="00302919">
        <w:t>.</w:t>
      </w:r>
    </w:p>
    <w:p w:rsidR="00AA3E0C" w:rsidRPr="00A0741E" w:rsidRDefault="00AA3E0C" w:rsidP="00AA3E0C">
      <w:pPr>
        <w:pStyle w:val="TAMainText"/>
      </w:pPr>
      <w:r>
        <w:tab/>
      </w:r>
      <w:r>
        <w:rPr>
          <w:i/>
        </w:rPr>
        <w:t xml:space="preserve">Chemical Quality Control (QC).  </w:t>
      </w:r>
      <w:r w:rsidRPr="00755337">
        <w:t>Chemical samples were commercially procured, diluted in dimethyl sulfoxide (DMSO) to a stock concentration of 20 mM, and plated by Evotec (formerly BioFocus DPI, South San Francisco, CA)</w:t>
      </w:r>
      <w:r>
        <w:t xml:space="preserve"> and shipped to each laboratory running the </w:t>
      </w:r>
      <w:r>
        <w:rPr>
          <w:i/>
        </w:rPr>
        <w:t xml:space="preserve">in vitro </w:t>
      </w:r>
      <w:r>
        <w:t>assays</w:t>
      </w:r>
      <w:r w:rsidRPr="00755337">
        <w:t xml:space="preserve">. </w:t>
      </w:r>
      <w:r>
        <w:t>H</w:t>
      </w:r>
      <w:r w:rsidRPr="00755337">
        <w:t>igh-throughput liquid and gas chromatography mass spectrometry determination of sample purity, parent mass, and sample stability in DMSO over time</w:t>
      </w:r>
      <w:r>
        <w:t xml:space="preserve"> was performed for the</w:t>
      </w:r>
      <w:r w:rsidRPr="00755337">
        <w:t xml:space="preserve"> Phase I chemical inventory (http://www.epa.gov/ncct/toxcast/chemicals.html). </w:t>
      </w:r>
      <w:r>
        <w:t>The Phase II portion of the ToxCast chemical library is currently undergoing s</w:t>
      </w:r>
      <w:r w:rsidRPr="00755337">
        <w:t xml:space="preserve">imilar analytical QC methods in association with the Tox21 project and </w:t>
      </w:r>
      <w:r>
        <w:t xml:space="preserve">upon completion </w:t>
      </w:r>
      <w:r w:rsidRPr="00755337">
        <w:t xml:space="preserve">will be made publically available. Additional </w:t>
      </w:r>
      <w:r>
        <w:t xml:space="preserve">chemical </w:t>
      </w:r>
      <w:r w:rsidRPr="00755337">
        <w:t xml:space="preserve">information </w:t>
      </w:r>
      <w:r>
        <w:t>c</w:t>
      </w:r>
      <w:r w:rsidRPr="00755337">
        <w:t xml:space="preserve">an be </w:t>
      </w:r>
      <w:r>
        <w:t xml:space="preserve">obtained </w:t>
      </w:r>
      <w:r w:rsidRPr="00755337">
        <w:t xml:space="preserve">by querying the </w:t>
      </w:r>
      <w:r>
        <w:t>chemical_id</w:t>
      </w:r>
      <w:r w:rsidRPr="00755337">
        <w:t xml:space="preserve">, </w:t>
      </w:r>
      <w:r>
        <w:t xml:space="preserve">from File </w:t>
      </w:r>
      <w:r w:rsidR="00B62F33">
        <w:t>S</w:t>
      </w:r>
      <w:r>
        <w:t>9</w:t>
      </w:r>
      <w:r w:rsidR="00B62F33">
        <w:t xml:space="preserve"> in the SI</w:t>
      </w:r>
      <w:r>
        <w:t>,</w:t>
      </w:r>
      <w:r w:rsidRPr="00755337">
        <w:t xml:space="preserve"> in the publically available DSSTox Structure Browser (</w:t>
      </w:r>
      <w:hyperlink r:id="rId8" w:history="1">
        <w:r w:rsidRPr="000724CD">
          <w:rPr>
            <w:rStyle w:val="Hyperlink"/>
          </w:rPr>
          <w:t>http://epa.gov/dsstox_structurebrowser/</w:t>
        </w:r>
      </w:hyperlink>
      <w:r>
        <w:t xml:space="preserve">) which will provide hyperlinks to </w:t>
      </w:r>
      <w:r w:rsidRPr="00755337">
        <w:t>additional structure-</w:t>
      </w:r>
      <w:r w:rsidRPr="00755337">
        <w:lastRenderedPageBreak/>
        <w:t xml:space="preserve">based </w:t>
      </w:r>
      <w:r>
        <w:t>information in the</w:t>
      </w:r>
      <w:r w:rsidRPr="00755337">
        <w:t xml:space="preserve"> EPA’s ACToR </w:t>
      </w:r>
      <w:r>
        <w:t xml:space="preserve">database </w:t>
      </w:r>
      <w:r w:rsidRPr="00755337">
        <w:t xml:space="preserve">(http://actor.epa.gov) and </w:t>
      </w:r>
      <w:r>
        <w:t xml:space="preserve">the </w:t>
      </w:r>
      <w:r w:rsidRPr="00755337">
        <w:t xml:space="preserve">PubChem </w:t>
      </w:r>
      <w:r>
        <w:t xml:space="preserve">database </w:t>
      </w:r>
      <w:r w:rsidRPr="00755337">
        <w:t>(</w:t>
      </w:r>
      <w:hyperlink r:id="rId9" w:history="1">
        <w:r w:rsidRPr="000724CD">
          <w:rPr>
            <w:rStyle w:val="Hyperlink"/>
          </w:rPr>
          <w:t>http://pubchem.ncbi.nlm.nih.gov/</w:t>
        </w:r>
      </w:hyperlink>
      <w:r w:rsidRPr="00755337">
        <w:t>).</w:t>
      </w:r>
    </w:p>
    <w:p w:rsidR="00AA3E0C" w:rsidRDefault="00AA3E0C" w:rsidP="00AA3E0C">
      <w:pPr>
        <w:pStyle w:val="TAMainText"/>
        <w:rPr>
          <w:rFonts w:eastAsia="Calibri"/>
        </w:rPr>
      </w:pPr>
      <w:r w:rsidRPr="00302919">
        <w:rPr>
          <w:i/>
        </w:rPr>
        <w:t>In Vitro Assays</w:t>
      </w:r>
      <w:r>
        <w:rPr>
          <w:i/>
        </w:rPr>
        <w:t>.</w:t>
      </w:r>
      <w:r>
        <w:t xml:space="preserve">  All </w:t>
      </w:r>
      <w:r>
        <w:rPr>
          <w:i/>
        </w:rPr>
        <w:t xml:space="preserve">in </w:t>
      </w:r>
      <w:r w:rsidRPr="00723FCA">
        <w:rPr>
          <w:i/>
        </w:rPr>
        <w:t>vitro</w:t>
      </w:r>
      <w:r>
        <w:rPr>
          <w:i/>
        </w:rPr>
        <w:t xml:space="preserve"> </w:t>
      </w:r>
      <w:r>
        <w:t xml:space="preserve">assays were selected from the ToxCast assay battery. Assays that were selected in an effort to maximize coverage of the ER signaling pathway (Figure 1). Further details on </w:t>
      </w:r>
      <w:r w:rsidR="005B0206">
        <w:t xml:space="preserve">all of </w:t>
      </w:r>
      <w:r>
        <w:t>the</w:t>
      </w:r>
      <w:r w:rsidR="005B0206">
        <w:t xml:space="preserve"> following</w:t>
      </w:r>
      <w:r>
        <w:t xml:space="preserve"> assays are provided in Appendix A of the </w:t>
      </w:r>
      <w:r w:rsidR="00B62F33">
        <w:t>SI</w:t>
      </w:r>
      <w:r>
        <w:t xml:space="preserve">.  </w:t>
      </w:r>
      <w:r w:rsidRPr="00723FCA">
        <w:rPr>
          <w:rFonts w:eastAsia="Calibri"/>
        </w:rPr>
        <w:t>The</w:t>
      </w:r>
      <w:r w:rsidRPr="00302919">
        <w:rPr>
          <w:rFonts w:eastAsia="Calibri"/>
        </w:rPr>
        <w:t xml:space="preserve"> NovaScreen</w:t>
      </w:r>
      <w:r>
        <w:rPr>
          <w:rFonts w:eastAsia="Calibri"/>
        </w:rPr>
        <w:t xml:space="preserve"> (NVS)</w:t>
      </w:r>
      <w:r w:rsidRPr="00302919">
        <w:rPr>
          <w:rFonts w:eastAsia="Calibri"/>
        </w:rPr>
        <w:t xml:space="preserve"> competitive binding assays for </w:t>
      </w:r>
      <w:r>
        <w:rPr>
          <w:rFonts w:eastAsia="Calibri"/>
        </w:rPr>
        <w:t xml:space="preserve">the </w:t>
      </w:r>
      <w:r w:rsidRPr="00302919">
        <w:rPr>
          <w:rFonts w:eastAsia="Calibri"/>
        </w:rPr>
        <w:t>human</w:t>
      </w:r>
      <w:r>
        <w:rPr>
          <w:rFonts w:eastAsia="Calibri"/>
        </w:rPr>
        <w:t xml:space="preserve"> (NVS_hER)</w:t>
      </w:r>
      <w:r w:rsidRPr="00302919">
        <w:rPr>
          <w:rFonts w:eastAsia="Calibri"/>
        </w:rPr>
        <w:t>, bovine</w:t>
      </w:r>
      <w:r>
        <w:rPr>
          <w:rFonts w:eastAsia="Calibri"/>
        </w:rPr>
        <w:t xml:space="preserve"> (NVS_bER), and murine (NVS_mERa)</w:t>
      </w:r>
      <w:r w:rsidRPr="00302919">
        <w:rPr>
          <w:rFonts w:eastAsia="Calibri"/>
        </w:rPr>
        <w:t xml:space="preserve"> estrogen receptor were developed and run by Caliper Discovery Alliances and Services (Hanover, MD). </w:t>
      </w:r>
      <w:r>
        <w:rPr>
          <w:rFonts w:eastAsia="Calibri"/>
        </w:rPr>
        <w:t xml:space="preserve"> T</w:t>
      </w:r>
      <w:r w:rsidRPr="00453F06">
        <w:rPr>
          <w:rFonts w:eastAsia="Calibri"/>
        </w:rPr>
        <w:t xml:space="preserve">he NVS_hER, NVS_bER, NVS_mERa receptor binding assays were conducted on extracts of </w:t>
      </w:r>
      <w:r>
        <w:rPr>
          <w:rFonts w:eastAsia="Calibri"/>
        </w:rPr>
        <w:t xml:space="preserve">MCF-7 </w:t>
      </w:r>
      <w:r w:rsidRPr="00453F06">
        <w:rPr>
          <w:rFonts w:eastAsia="Calibri"/>
        </w:rPr>
        <w:t>human breast cancer cells, bovine</w:t>
      </w:r>
      <w:r>
        <w:rPr>
          <w:rFonts w:eastAsia="Calibri"/>
        </w:rPr>
        <w:t xml:space="preserve"> uterine membranes</w:t>
      </w:r>
      <w:r w:rsidRPr="00453F06">
        <w:rPr>
          <w:rFonts w:eastAsia="Calibri"/>
        </w:rPr>
        <w:t xml:space="preserve">, and </w:t>
      </w:r>
      <w:r>
        <w:rPr>
          <w:rFonts w:eastAsia="Calibri"/>
        </w:rPr>
        <w:t xml:space="preserve">recombinant </w:t>
      </w:r>
      <w:r w:rsidRPr="00453F06">
        <w:rPr>
          <w:rFonts w:eastAsia="Calibri"/>
        </w:rPr>
        <w:t xml:space="preserve">mouse </w:t>
      </w:r>
      <w:r>
        <w:rPr>
          <w:rFonts w:eastAsia="Calibri"/>
        </w:rPr>
        <w:t>ERα of the ligand binding domain</w:t>
      </w:r>
      <w:r w:rsidRPr="00453F06">
        <w:rPr>
          <w:rFonts w:eastAsia="Calibri"/>
        </w:rPr>
        <w:t xml:space="preserve">, respectively. </w:t>
      </w:r>
      <w:r w:rsidRPr="00302919">
        <w:rPr>
          <w:rFonts w:eastAsia="Calibri"/>
        </w:rPr>
        <w:t xml:space="preserve">A more complete description of </w:t>
      </w:r>
      <w:r>
        <w:rPr>
          <w:rFonts w:eastAsia="Calibri"/>
        </w:rPr>
        <w:t xml:space="preserve">the Novascreen assays and analysis methods </w:t>
      </w:r>
      <w:r w:rsidRPr="00302919">
        <w:rPr>
          <w:rFonts w:eastAsia="Calibri"/>
        </w:rPr>
        <w:t>is provided in</w:t>
      </w:r>
      <w:r>
        <w:rPr>
          <w:rFonts w:eastAsia="Calibri"/>
        </w:rPr>
        <w:t xml:space="preserve"> </w:t>
      </w:r>
      <w:r w:rsidR="00B62F33">
        <w:rPr>
          <w:rFonts w:eastAsia="Calibri"/>
        </w:rPr>
        <w:t>the SI</w:t>
      </w:r>
      <w:r>
        <w:rPr>
          <w:rFonts w:eastAsia="Calibri"/>
        </w:rPr>
        <w:t>.</w:t>
      </w:r>
      <w:r w:rsidRPr="00302919">
        <w:rPr>
          <w:rFonts w:eastAsia="Calibri"/>
        </w:rPr>
        <w:t xml:space="preserve"> </w:t>
      </w:r>
    </w:p>
    <w:p w:rsidR="00AA3E0C" w:rsidRDefault="00AA3E0C" w:rsidP="00AA3E0C">
      <w:pPr>
        <w:pStyle w:val="TAMainText"/>
        <w:rPr>
          <w:rFonts w:eastAsia="Calibri"/>
        </w:rPr>
      </w:pPr>
      <w:r w:rsidRPr="00302919">
        <w:rPr>
          <w:rFonts w:eastAsia="Calibri"/>
        </w:rPr>
        <w:t xml:space="preserve">The Odyssey Thera </w:t>
      </w:r>
      <w:r>
        <w:rPr>
          <w:rFonts w:eastAsia="Calibri"/>
        </w:rPr>
        <w:t xml:space="preserve">(OT) </w:t>
      </w:r>
      <w:r w:rsidRPr="00302919">
        <w:rPr>
          <w:rFonts w:eastAsia="Calibri"/>
        </w:rPr>
        <w:t>protein-fragment complementation assay</w:t>
      </w:r>
      <w:r>
        <w:rPr>
          <w:rFonts w:eastAsia="Calibri"/>
        </w:rPr>
        <w:t>s</w:t>
      </w:r>
      <w:r w:rsidRPr="00302919">
        <w:rPr>
          <w:rFonts w:eastAsia="Calibri"/>
        </w:rPr>
        <w:t xml:space="preserve"> (PCA) </w:t>
      </w:r>
      <w:r>
        <w:rPr>
          <w:rFonts w:eastAsia="Calibri"/>
        </w:rPr>
        <w:t>were developed and run by Odyssey Thera, Inc. (</w:t>
      </w:r>
      <w:r w:rsidRPr="00F103E6">
        <w:rPr>
          <w:rFonts w:eastAsia="Calibri"/>
        </w:rPr>
        <w:t>San Ramon, CA</w:t>
      </w:r>
      <w:r>
        <w:rPr>
          <w:rFonts w:eastAsia="Calibri"/>
        </w:rPr>
        <w:t xml:space="preserve">).  </w:t>
      </w:r>
      <w:r w:rsidRPr="00302919">
        <w:rPr>
          <w:rFonts w:eastAsia="Calibri"/>
        </w:rPr>
        <w:t xml:space="preserve">For the assays in the present study, the fused proteins were </w:t>
      </w:r>
      <w:r>
        <w:rPr>
          <w:rFonts w:eastAsia="Calibri"/>
        </w:rPr>
        <w:t xml:space="preserve">transiently </w:t>
      </w:r>
      <w:r w:rsidRPr="00302919">
        <w:rPr>
          <w:rFonts w:eastAsia="Calibri"/>
        </w:rPr>
        <w:t>expressed in human HEK293T kidney cell lines and target ERα and ERβ homo- and heterodimerization. Assays were run</w:t>
      </w:r>
      <w:r>
        <w:rPr>
          <w:rFonts w:eastAsia="Calibri"/>
        </w:rPr>
        <w:t xml:space="preserve"> </w:t>
      </w:r>
      <w:r w:rsidRPr="00302919">
        <w:rPr>
          <w:rFonts w:eastAsia="Calibri"/>
        </w:rPr>
        <w:t xml:space="preserve">across three dimerization conditions (ERα-ERα, ERα-ERβ, ERβ- ERβ) and </w:t>
      </w:r>
      <w:r>
        <w:rPr>
          <w:rFonts w:eastAsia="Calibri"/>
        </w:rPr>
        <w:t>were designated</w:t>
      </w:r>
      <w:r w:rsidRPr="00302919">
        <w:rPr>
          <w:rFonts w:eastAsia="Calibri"/>
        </w:rPr>
        <w:t xml:space="preserve"> OT_ERaERa_1440, OT_ERaERb_1440, OT_ERbERb_1440, respectively. A more complete description of </w:t>
      </w:r>
      <w:r>
        <w:rPr>
          <w:rFonts w:eastAsia="Calibri"/>
        </w:rPr>
        <w:t xml:space="preserve">the Odyssey Thera assays and analysis methods </w:t>
      </w:r>
      <w:r w:rsidRPr="00302919">
        <w:rPr>
          <w:rFonts w:eastAsia="Calibri"/>
        </w:rPr>
        <w:t>is provided in</w:t>
      </w:r>
      <w:r>
        <w:rPr>
          <w:rFonts w:eastAsia="Calibri"/>
        </w:rPr>
        <w:t xml:space="preserve"> </w:t>
      </w:r>
      <w:r w:rsidR="00B62F33">
        <w:rPr>
          <w:rFonts w:eastAsia="Calibri"/>
        </w:rPr>
        <w:t>the SI</w:t>
      </w:r>
      <w:r>
        <w:rPr>
          <w:rFonts w:eastAsia="Calibri"/>
        </w:rPr>
        <w:t>.</w:t>
      </w:r>
    </w:p>
    <w:p w:rsidR="00AA3E0C" w:rsidRDefault="00AA3E0C" w:rsidP="00AA3E0C">
      <w:pPr>
        <w:pStyle w:val="TAMainText"/>
        <w:rPr>
          <w:rFonts w:eastAsia="Calibri"/>
        </w:rPr>
      </w:pPr>
      <w:r w:rsidRPr="00302919">
        <w:rPr>
          <w:rFonts w:eastAsia="Calibri"/>
        </w:rPr>
        <w:t xml:space="preserve">The Attagene </w:t>
      </w:r>
      <w:r>
        <w:rPr>
          <w:rFonts w:eastAsia="Calibri"/>
        </w:rPr>
        <w:t xml:space="preserve">ER </w:t>
      </w:r>
      <w:r w:rsidRPr="00302919">
        <w:rPr>
          <w:rFonts w:eastAsia="Calibri"/>
        </w:rPr>
        <w:t xml:space="preserve">assays </w:t>
      </w:r>
      <w:r>
        <w:rPr>
          <w:rFonts w:eastAsia="Calibri"/>
        </w:rPr>
        <w:t xml:space="preserve">(ATG_ERa_TRANS, ATG_ERE_CIS) consisted of both a cis- and trans-system and were developed and run by Attagene, Inc. (Research Triangle Park, NC). </w:t>
      </w:r>
      <w:r w:rsidR="00D34C94">
        <w:rPr>
          <w:rFonts w:eastAsia="Calibri"/>
        </w:rPr>
        <w:t xml:space="preserve">Both of these assays are ER reporter gene assays. </w:t>
      </w:r>
      <w:r w:rsidRPr="00302919">
        <w:rPr>
          <w:rFonts w:eastAsia="Calibri"/>
        </w:rPr>
        <w:t xml:space="preserve">A major difference between the </w:t>
      </w:r>
      <w:r>
        <w:rPr>
          <w:rFonts w:eastAsia="Calibri"/>
        </w:rPr>
        <w:t>cis and trans system is that in cis</w:t>
      </w:r>
      <w:r w:rsidRPr="00302919">
        <w:rPr>
          <w:rFonts w:eastAsia="Calibri"/>
        </w:rPr>
        <w:t xml:space="preserve"> activities of endogenous transcription factors</w:t>
      </w:r>
      <w:r>
        <w:rPr>
          <w:rFonts w:eastAsia="Calibri"/>
        </w:rPr>
        <w:t xml:space="preserve"> are measured, whereas the trans</w:t>
      </w:r>
      <w:r w:rsidRPr="00302919">
        <w:rPr>
          <w:rFonts w:eastAsia="Calibri"/>
        </w:rPr>
        <w:t xml:space="preserve"> assay evaluates changes in acti</w:t>
      </w:r>
      <w:r>
        <w:rPr>
          <w:rFonts w:eastAsia="Calibri"/>
        </w:rPr>
        <w:t xml:space="preserve">vities of the exogenous, chimeric hERα-Gal4 that regulates transcription </w:t>
      </w:r>
      <w:r>
        <w:rPr>
          <w:rFonts w:eastAsia="Calibri"/>
        </w:rPr>
        <w:lastRenderedPageBreak/>
        <w:t>of a reporter sequence</w:t>
      </w:r>
      <w:r w:rsidRPr="00302919">
        <w:rPr>
          <w:rFonts w:eastAsia="Calibri"/>
        </w:rPr>
        <w:t>.</w:t>
      </w:r>
      <w:r>
        <w:rPr>
          <w:rFonts w:eastAsia="Calibri"/>
        </w:rPr>
        <w:t xml:space="preserve">  Additional details on the Attagene assays</w:t>
      </w:r>
      <w:r w:rsidRPr="0037317A">
        <w:rPr>
          <w:rFonts w:eastAsia="Calibri"/>
        </w:rPr>
        <w:t xml:space="preserve"> </w:t>
      </w:r>
      <w:r>
        <w:rPr>
          <w:rFonts w:eastAsia="Calibri"/>
        </w:rPr>
        <w:t>and analysis methods are</w:t>
      </w:r>
      <w:r w:rsidRPr="00302919">
        <w:rPr>
          <w:rFonts w:eastAsia="Calibri"/>
        </w:rPr>
        <w:t xml:space="preserve"> provided in</w:t>
      </w:r>
      <w:r>
        <w:rPr>
          <w:rFonts w:eastAsia="Calibri"/>
        </w:rPr>
        <w:t xml:space="preserve"> </w:t>
      </w:r>
      <w:r w:rsidR="00B62F33">
        <w:rPr>
          <w:rFonts w:eastAsia="Calibri"/>
        </w:rPr>
        <w:t>the SI</w:t>
      </w:r>
      <w:r>
        <w:rPr>
          <w:rFonts w:eastAsia="Calibri"/>
        </w:rPr>
        <w:t>.</w:t>
      </w:r>
    </w:p>
    <w:p w:rsidR="00AA3E0C" w:rsidRDefault="00AA3E0C" w:rsidP="00AA3E0C">
      <w:pPr>
        <w:pStyle w:val="TAMainText"/>
        <w:rPr>
          <w:rFonts w:eastAsia="Calibri"/>
        </w:rPr>
      </w:pPr>
      <w:r w:rsidRPr="00302919">
        <w:rPr>
          <w:rFonts w:eastAsia="Calibri"/>
        </w:rPr>
        <w:t xml:space="preserve">The ACEA </w:t>
      </w:r>
      <w:r>
        <w:rPr>
          <w:rFonts w:eastAsia="Calibri"/>
        </w:rPr>
        <w:t>assay</w:t>
      </w:r>
      <w:r w:rsidRPr="00302919">
        <w:rPr>
          <w:rFonts w:eastAsia="Calibri"/>
        </w:rPr>
        <w:t xml:space="preserve"> (ACEA_T47D_80hr_Positive)</w:t>
      </w:r>
      <w:r>
        <w:rPr>
          <w:rFonts w:eastAsia="Calibri"/>
        </w:rPr>
        <w:t xml:space="preserve"> was performed by ACEA Biosciences, Inc. (San Diego, CA).  The assay utilizes the</w:t>
      </w:r>
      <w:r w:rsidRPr="00302919">
        <w:rPr>
          <w:rFonts w:eastAsia="Calibri"/>
        </w:rPr>
        <w:t xml:space="preserve"> xCELLigence </w:t>
      </w:r>
      <w:r>
        <w:rPr>
          <w:rFonts w:eastAsia="Calibri"/>
        </w:rPr>
        <w:t>Multi-E-Plate system that measures time-dependent cell growth using impedance</w:t>
      </w:r>
      <w:r w:rsidR="00D34C94">
        <w:rPr>
          <w:rFonts w:eastAsia="Calibri"/>
        </w:rPr>
        <w:t xml:space="preserve"> using the ER-responsive T-47D breast cancer cells</w:t>
      </w:r>
      <w:r>
        <w:rPr>
          <w:rFonts w:eastAsia="Calibri"/>
        </w:rPr>
        <w:t>.  To</w:t>
      </w:r>
      <w:r w:rsidRPr="007B1486">
        <w:rPr>
          <w:rFonts w:eastAsia="Calibri"/>
        </w:rPr>
        <w:t xml:space="preserve"> make cross platform comparisons, we selected a late time point </w:t>
      </w:r>
      <w:r>
        <w:rPr>
          <w:rFonts w:eastAsia="Calibri"/>
        </w:rPr>
        <w:t xml:space="preserve">(80 h) </w:t>
      </w:r>
      <w:r w:rsidRPr="007B1486">
        <w:rPr>
          <w:rFonts w:eastAsia="Calibri"/>
        </w:rPr>
        <w:t xml:space="preserve">that </w:t>
      </w:r>
      <w:r>
        <w:rPr>
          <w:rFonts w:eastAsia="Calibri"/>
        </w:rPr>
        <w:t xml:space="preserve">appeared to </w:t>
      </w:r>
      <w:r w:rsidRPr="007B1486">
        <w:rPr>
          <w:rFonts w:eastAsia="Calibri"/>
        </w:rPr>
        <w:t>capture the full growth potential of active chemicals and was tested across all chemical libraries in the cell growth assay</w:t>
      </w:r>
      <w:r>
        <w:rPr>
          <w:rFonts w:eastAsia="Calibri"/>
        </w:rPr>
        <w:t>. Additional details on the ACEA assay</w:t>
      </w:r>
      <w:r w:rsidRPr="0037317A">
        <w:rPr>
          <w:rFonts w:eastAsia="Calibri"/>
        </w:rPr>
        <w:t xml:space="preserve"> </w:t>
      </w:r>
      <w:r>
        <w:rPr>
          <w:rFonts w:eastAsia="Calibri"/>
        </w:rPr>
        <w:t>and analysis methods are</w:t>
      </w:r>
      <w:r w:rsidRPr="00302919">
        <w:rPr>
          <w:rFonts w:eastAsia="Calibri"/>
        </w:rPr>
        <w:t xml:space="preserve"> provided in</w:t>
      </w:r>
      <w:r>
        <w:rPr>
          <w:rFonts w:eastAsia="Calibri"/>
        </w:rPr>
        <w:t xml:space="preserve"> </w:t>
      </w:r>
      <w:r w:rsidR="00B62F33">
        <w:rPr>
          <w:rFonts w:eastAsia="Calibri"/>
        </w:rPr>
        <w:t>the SI</w:t>
      </w:r>
      <w:r>
        <w:rPr>
          <w:rFonts w:eastAsia="Calibri"/>
        </w:rPr>
        <w:t>.</w:t>
      </w:r>
    </w:p>
    <w:p w:rsidR="00AA3E0C" w:rsidRDefault="00AA3E0C" w:rsidP="00AA3E0C">
      <w:pPr>
        <w:pStyle w:val="TAMainText"/>
        <w:rPr>
          <w:rFonts w:eastAsia="Calibri"/>
        </w:rPr>
      </w:pPr>
      <w:r w:rsidRPr="00302919">
        <w:rPr>
          <w:rFonts w:eastAsia="Calibri"/>
        </w:rPr>
        <w:t xml:space="preserve">The Tox21 </w:t>
      </w:r>
      <w:r>
        <w:rPr>
          <w:rFonts w:eastAsia="Calibri"/>
        </w:rPr>
        <w:t xml:space="preserve">ER </w:t>
      </w:r>
      <w:r w:rsidRPr="00302919">
        <w:rPr>
          <w:rFonts w:eastAsia="Calibri"/>
        </w:rPr>
        <w:t xml:space="preserve">assays </w:t>
      </w:r>
      <w:r>
        <w:rPr>
          <w:rFonts w:eastAsia="Calibri"/>
        </w:rPr>
        <w:t xml:space="preserve">were run by the </w:t>
      </w:r>
      <w:r w:rsidRPr="0020423C">
        <w:rPr>
          <w:rFonts w:eastAsia="Calibri"/>
        </w:rPr>
        <w:t>National Center for Advancing Translational Sciences (NCATS) at the National Institutes of Health (NIH)</w:t>
      </w:r>
      <w:r>
        <w:rPr>
          <w:rFonts w:eastAsia="Calibri"/>
        </w:rPr>
        <w:t xml:space="preserve"> in Bethesda, Maryland and </w:t>
      </w:r>
      <w:r w:rsidRPr="00302919">
        <w:rPr>
          <w:rFonts w:eastAsia="Calibri"/>
        </w:rPr>
        <w:t>consist of two high-throughput</w:t>
      </w:r>
      <w:r>
        <w:rPr>
          <w:rFonts w:eastAsia="Calibri"/>
        </w:rPr>
        <w:t xml:space="preserve"> </w:t>
      </w:r>
      <w:r w:rsidRPr="00302919">
        <w:rPr>
          <w:rFonts w:eastAsia="Calibri"/>
        </w:rPr>
        <w:t>reporter gene assays run in both agonist</w:t>
      </w:r>
      <w:r>
        <w:rPr>
          <w:rFonts w:eastAsia="Calibri"/>
        </w:rPr>
        <w:t xml:space="preserve"> (</w:t>
      </w:r>
      <w:r w:rsidRPr="00302919">
        <w:t>Tox21_ERa_BLA_agonist, Tox21_ERa_LUC_BG1_agonist</w:t>
      </w:r>
      <w:r>
        <w:t>)</w:t>
      </w:r>
      <w:r w:rsidRPr="00302919">
        <w:rPr>
          <w:rFonts w:eastAsia="Calibri"/>
        </w:rPr>
        <w:t xml:space="preserve"> and antagonist mode</w:t>
      </w:r>
      <w:r>
        <w:rPr>
          <w:rFonts w:eastAsia="Calibri"/>
        </w:rPr>
        <w:t xml:space="preserve"> (</w:t>
      </w:r>
      <w:r w:rsidRPr="00302919">
        <w:t>Tox21_ERa_BLA_a</w:t>
      </w:r>
      <w:r>
        <w:t>nta</w:t>
      </w:r>
      <w:r w:rsidRPr="00302919">
        <w:t>gonist, Tox21_ERa_LUC_BG1_a</w:t>
      </w:r>
      <w:r>
        <w:t>nta</w:t>
      </w:r>
      <w:r w:rsidRPr="00302919">
        <w:t>gonist</w:t>
      </w:r>
      <w:r>
        <w:t>)</w:t>
      </w:r>
      <w:r w:rsidRPr="00302919">
        <w:rPr>
          <w:rFonts w:eastAsia="Calibri"/>
        </w:rPr>
        <w:t xml:space="preserve">. </w:t>
      </w:r>
      <w:r>
        <w:rPr>
          <w:rFonts w:eastAsia="Calibri"/>
        </w:rPr>
        <w:t>Additional details on the Tox21 assays</w:t>
      </w:r>
      <w:r w:rsidRPr="0037317A">
        <w:rPr>
          <w:rFonts w:eastAsia="Calibri"/>
        </w:rPr>
        <w:t xml:space="preserve"> </w:t>
      </w:r>
      <w:r>
        <w:rPr>
          <w:rFonts w:eastAsia="Calibri"/>
        </w:rPr>
        <w:t>and analysis methods are</w:t>
      </w:r>
      <w:r w:rsidRPr="00302919">
        <w:rPr>
          <w:rFonts w:eastAsia="Calibri"/>
        </w:rPr>
        <w:t xml:space="preserve"> provided in</w:t>
      </w:r>
      <w:r>
        <w:rPr>
          <w:rFonts w:eastAsia="Calibri"/>
        </w:rPr>
        <w:t xml:space="preserve"> </w:t>
      </w:r>
      <w:r w:rsidR="00B62F33">
        <w:rPr>
          <w:rFonts w:eastAsia="Calibri"/>
        </w:rPr>
        <w:t>the SI</w:t>
      </w:r>
      <w:r>
        <w:rPr>
          <w:rFonts w:eastAsia="Calibri"/>
        </w:rPr>
        <w:t xml:space="preserve">.    </w:t>
      </w:r>
    </w:p>
    <w:p w:rsidR="00AA3E0C" w:rsidRDefault="00AA3E0C" w:rsidP="00AA3E0C">
      <w:pPr>
        <w:pStyle w:val="TAMainText"/>
      </w:pPr>
      <w:r w:rsidRPr="00302919">
        <w:rPr>
          <w:i/>
        </w:rPr>
        <w:t>Data Processing</w:t>
      </w:r>
      <w:r>
        <w:rPr>
          <w:i/>
        </w:rPr>
        <w:t xml:space="preserve">.  </w:t>
      </w:r>
      <w:r w:rsidRPr="00302919">
        <w:t>All assay responses were normalized to 17β-estradiol, except those in the antagonist group, which were normalized to 4-hydroxytamoxifen.</w:t>
      </w:r>
      <w:r>
        <w:t xml:space="preserve">  The normalized data from a</w:t>
      </w:r>
      <w:r w:rsidRPr="00302919">
        <w:t xml:space="preserve">ll chemicals for each assay were fit using non-linear least squares regression to a </w:t>
      </w:r>
      <w:r>
        <w:t>Hill</w:t>
      </w:r>
      <w:r w:rsidRPr="00302919">
        <w:t>-model in a separate analysis</w:t>
      </w:r>
      <w:r w:rsidRPr="001E4548">
        <w:t xml:space="preserve">. </w:t>
      </w:r>
      <w:r w:rsidRPr="00F253DF">
        <w:t xml:space="preserve">A diminished response, observed at higher concentrations for some chemicals, is characteristic of cytotoxicity. This has been confirmed using assays that measure ATP, or expert inspection performed either during assay development or run in parallel with the assays shown. </w:t>
      </w:r>
      <w:r w:rsidRPr="001E4548">
        <w:t>Detail</w:t>
      </w:r>
      <w:r>
        <w:t xml:space="preserve">s on the model fitting and filtering for cytotoxicity and outliers, where applicable, are outlined in the </w:t>
      </w:r>
      <w:r w:rsidR="00B62F33">
        <w:t>SI</w:t>
      </w:r>
      <w:r w:rsidRPr="00302919">
        <w:t xml:space="preserve">. </w:t>
      </w:r>
    </w:p>
    <w:p w:rsidR="00AA3E0C" w:rsidRPr="00302919" w:rsidRDefault="00AA3E0C" w:rsidP="00AA3E0C">
      <w:pPr>
        <w:pStyle w:val="TAMainText"/>
      </w:pPr>
      <w:r>
        <w:lastRenderedPageBreak/>
        <w:t xml:space="preserve">After fitting the experimental data for each chemical and assay combination, the model was used to generate a series of 1000 interpolated data points at standardized concentrations. This serves to create a consistent set of concentrations across all assays within a group and also ensures that each assay is weighted equally regardless of the number of concentrations or replicates tested for a given assay. </w:t>
      </w:r>
      <w:r w:rsidRPr="00302919">
        <w:t xml:space="preserve">Next, </w:t>
      </w:r>
      <w:r>
        <w:t>the assay-specific interpolated data points</w:t>
      </w:r>
      <w:r w:rsidRPr="00302919">
        <w:t xml:space="preserve"> were </w:t>
      </w:r>
      <w:r>
        <w:t>organized</w:t>
      </w:r>
      <w:r w:rsidRPr="00302919">
        <w:t xml:space="preserve"> according to their assigned group within the ER pathway</w:t>
      </w:r>
      <w:r>
        <w:t xml:space="preserve"> </w:t>
      </w:r>
      <w:r w:rsidRPr="00302919">
        <w:t xml:space="preserve">(Figure 1 and Table 1). </w:t>
      </w:r>
      <w:r>
        <w:t xml:space="preserve">A schematic representing the data processing and analysis workflow is provided in Figure 2.  </w:t>
      </w:r>
      <w:r w:rsidRPr="00302919">
        <w:t>The NVS_hER, NVS_mERa, and NVS_bER binding assays were grouped together because both agonist and antagonist activity are detectable and indistinguishable. Agonist assays, OT_ERaERa_1440, OT_ERaERb_1440, OT_ERbERb_1440, Tox21_ERa_BLA_agonist, Tox21_ERa_LUC_BG1_agonist, ATG_ERa_TRANS_perc, and ATG_ERE_CIS_perc were grouped together. Antagonist assays, Tox21_ERa_BLA_antagonist and Tox21_ERa_LUC_BG1_antagonist were grouped together</w:t>
      </w:r>
      <w:r>
        <w:t xml:space="preserve"> (Fig. 2)</w:t>
      </w:r>
      <w:r w:rsidRPr="00302919">
        <w:t>. Because the ACEA_T47D_80h assay responds to growth inducing chemicals other than estrogens</w:t>
      </w:r>
      <w:r>
        <w:t xml:space="preserve"> </w:t>
      </w:r>
      <w:r w:rsidRPr="00302919">
        <w:fldChar w:fldCharType="begin"/>
      </w:r>
      <w:r w:rsidR="0077366F">
        <w:instrText xml:space="preserve"> ADDIN ZOTERO_ITEM CSL_CITATION {"citationID":"ndiNIgRG","properties":{"formattedCitation":"{\\rtf \\super 17\\nosupersub{}}","plainCitation":"17"},"citationItems":[{"id":677,"uris":["http://zotero.org/users/1283946/items/HG8XG75E"],"uri":["http://zotero.org/users/1283946/items/HG8XG75E"],"itemData":{"id":677,"type":"article-journal","title":"Real-Time Growth Kinetics Measuring Hormone Mimicry for ToxCast Chemicals in T-47D Human Ductal Carcinoma Cells","container-title":"Chemical Research in Toxicology","page":"1097-1107","volume":"26","issue":"7","source":"ACS Publications","abstract":"High-throughput screening (HTS) assays capable of profiling thousands of environmentally relevant chemicals for in vitro biological activity provide useful information on the potential for disrupting endocrine pathways. Disruption of the estrogen signaling pathway has been implicated in a variety of adverse health effects including impaired development, reproduction, and carcinogenesis. The estrogen-responsive human mammary ductal carcinoma cell line T-47D was exposed to 1815 ToxCast chemicals comprising pesticides, industrial chemicals, pharmaceuticals, personal care products, cosmetics, food ingredients, and other chemicals with known or suspected human exposure potential. Cell growth kinetics were evaluated using real-time cell electronic sensing. T-47D cells were exposed to eight concentrations (0.006?100 ?M), and measurements of cellular impedance were repeatedly recorded for 105 h. Chemical effects were evaluated based on potency (concentration at which response occurs) and efficacy (extent of response). A linear growth response was observed in response to prototypical estrogen receptor agonists (17?-estradiol, genistein, bisphenol A, nonylphenol, and 4-tert-octylphenol). Several compounds, including bisphenol A and genistein, induced cell growth comparable in efficacy to that of 17?-estradiol, but with decreased potency. Progestins, androgens, and corticosteroids invoked a biphasic growth response indicative of changes in cell number or cell morphology. Results from this cell growth assay were compared with results from additional estrogen receptor (ER) binding and transactivation assays. Chemicals detected as active in both the cell growth and ER receptor binding assays demonstrated potencies highly correlated with two ER transactivation assays (r = 0.72; r = 0.70). While ER binding assays detected chemicals that were highly potent or efficacious in the T-47D cell growth and transactivation assays, the binding assays lacked sensitivity in detecting weakly active compounds. In conclusion, this cell-based assay rapidly detects chemical effects on T-47D growth and shows potential, in combination with other HTS assays, to detect environmentally relevant chemicals with potential estrogenic activity.","DOI":"10.1021/tx400117y","ISSN":"0893-228X","journalAbbreviation":"Chem. Res. Toxicol.","author":[{"family":"Rotroff","given":"Daniel M."},{"family":"Dix","given":"David J."},{"family":"Houck","given":"Keith A."},{"family":"Kavlock","given":"Robert J."},{"family":"Knudsen","given":"Thomas B."},{"family":"Martin","given":"Matthew T."},{"family":"Reif","given":"David M."},{"family":"Richard","given":"Ann M."},{"family":"Sipes","given":"Nisha S."},{"family":"Abassi","given":"Yama A."},{"family":"Jin","given":"Can"},{"family":"Stampfl","given":"Melinda"},{"family":"Judson","given":"Richard S."}],"issued":{"date-parts":[["2013",7,15]]},"accessed":{"date-parts":[["2013",11,6]]}}}],"schema":"https://github.com/citation-style-language/schema/raw/master/csl-citation.json"} </w:instrText>
      </w:r>
      <w:r w:rsidRPr="00302919">
        <w:fldChar w:fldCharType="separate"/>
      </w:r>
      <w:r w:rsidR="0077366F" w:rsidRPr="0077366F">
        <w:rPr>
          <w:rFonts w:cs="Times"/>
          <w:szCs w:val="24"/>
          <w:vertAlign w:val="superscript"/>
        </w:rPr>
        <w:t>17</w:t>
      </w:r>
      <w:r w:rsidRPr="00302919">
        <w:fldChar w:fldCharType="end"/>
      </w:r>
      <w:r w:rsidRPr="00302919">
        <w:t>, it was given a group of its own</w:t>
      </w:r>
      <w:r>
        <w:t xml:space="preserve">. </w:t>
      </w:r>
      <w:r w:rsidRPr="00302919">
        <w:t xml:space="preserve"> In order to minimize </w:t>
      </w:r>
      <w:r>
        <w:t xml:space="preserve">the fitting of variability/noise specific to the platform on which the assay was conducted, the interpolated data from the different </w:t>
      </w:r>
      <w:r w:rsidRPr="00302919">
        <w:t xml:space="preserve">assays within groups were linearly transformed. </w:t>
      </w:r>
      <w:r>
        <w:t xml:space="preserve">This removed some of the assay-specific noise, so that the remaining variability in responses was more likely to be from biological variability. Information on how the linear transformation was conducted can be found in the </w:t>
      </w:r>
      <w:r w:rsidR="00B62F33">
        <w:t>SI</w:t>
      </w:r>
      <w:r>
        <w:t xml:space="preserve">, and the effect of the linear transformation across all chemicals is illustrated in Figure </w:t>
      </w:r>
      <w:r w:rsidR="00B62F33">
        <w:t>S</w:t>
      </w:r>
      <w:r>
        <w:t>1</w:t>
      </w:r>
      <w:r w:rsidR="00B62F33">
        <w:t xml:space="preserve"> in the SI</w:t>
      </w:r>
      <w:r>
        <w:t xml:space="preserve">. </w:t>
      </w:r>
    </w:p>
    <w:p w:rsidR="00AA3E0C" w:rsidRPr="00302919" w:rsidRDefault="00AA3E0C" w:rsidP="00AA3E0C">
      <w:pPr>
        <w:pStyle w:val="TAMainText"/>
      </w:pPr>
      <w:r w:rsidRPr="00302919">
        <w:rPr>
          <w:i/>
        </w:rPr>
        <w:t>Composite Concentration Response Curves</w:t>
      </w:r>
      <w:r>
        <w:rPr>
          <w:i/>
        </w:rPr>
        <w:t xml:space="preserve">.  </w:t>
      </w:r>
      <w:r>
        <w:t xml:space="preserve">The interpolated, aggregated, and linearly transformed data for each of the assigned groups was fit to a single, composite concentration curve using a Hill model and </w:t>
      </w:r>
      <w:r w:rsidRPr="00302919">
        <w:t xml:space="preserve">non-linear least squares regression in the open-source statistical </w:t>
      </w:r>
      <w:r w:rsidRPr="00302919">
        <w:lastRenderedPageBreak/>
        <w:t xml:space="preserve">software, R and the </w:t>
      </w:r>
      <w:r w:rsidRPr="006A44FB">
        <w:rPr>
          <w:i/>
        </w:rPr>
        <w:t>sfsmisc</w:t>
      </w:r>
      <w:r w:rsidRPr="00302919">
        <w:t xml:space="preserve"> package </w:t>
      </w:r>
      <w:r w:rsidRPr="00302919">
        <w:fldChar w:fldCharType="begin"/>
      </w:r>
      <w:r w:rsidR="0077366F">
        <w:instrText xml:space="preserve"> ADDIN ZOTERO_ITEM CSL_CITATION {"citationID":"ppoh7od3e","properties":{"formattedCitation":"{\\rtf \\super 18,19\\nosupersub{}}","plainCitation":"18,19"},"citationItems":[{"id":89,"uris":["http://zotero.org/users/1283946/items/AFZSZQKT"],"uri":["http://zotero.org/users/1283946/items/AFZSZQKT"],"itemData":{"id":89,"type":"article-journal","title":"sfsmisc: Utilities from Seminar fuer Statistik ETH Zurich","container-title":"R package version","page":"1.0–15","source":"Google Scholar","author":[{"family":"Maechler","given":"M."}],"issued":{"date-parts":[["2011"]]},"accessed":{"date-parts":[["2014",6,16]]}}},{"id":154,"uris":["http://zotero.org/users/1283946/items/HTKBIJBN"],"uri":["http://zotero.org/users/1283946/items/HTKBIJBN"],"itemData":{"id":154,"type":"article","title":"R: A language and environment for statistical computing. R Foundation for Statistical Computing, Vienna, Austria. ISBN 3-900051-07-0, URL http://www.R-project.org/.","publisher":"R Foundation for Statistical Computing, Vienna, Austria","source":"ISBN 3-900051-07-0","URL":"http://www.R-project.org","author":[{"family":"R Development Core Team","given":""}],"issued":{"date-parts":[["2013"]]}}}],"schema":"https://github.com/citation-style-language/schema/raw/master/csl-citation.json"} </w:instrText>
      </w:r>
      <w:r w:rsidRPr="00302919">
        <w:fldChar w:fldCharType="separate"/>
      </w:r>
      <w:r w:rsidR="0077366F" w:rsidRPr="0077366F">
        <w:rPr>
          <w:rFonts w:cs="Times"/>
          <w:szCs w:val="24"/>
          <w:vertAlign w:val="superscript"/>
        </w:rPr>
        <w:t>18,19</w:t>
      </w:r>
      <w:r w:rsidRPr="00302919">
        <w:fldChar w:fldCharType="end"/>
      </w:r>
      <w:r w:rsidRPr="00302919">
        <w:t>. A representation of a composite model can be seen in Figure 3. The four-parameter Hill equation is represented as:</w:t>
      </w:r>
    </w:p>
    <w:p w:rsidR="00AA3E0C" w:rsidRPr="00302919" w:rsidRDefault="00AA3E0C" w:rsidP="00AA3E0C">
      <w:pPr>
        <w:pStyle w:val="TAMainText"/>
      </w:pPr>
      <m:oMathPara>
        <m:oMath>
          <m:r>
            <w:rPr>
              <w:rFonts w:ascii="Cambria Math" w:hAnsi="Cambria Math"/>
            </w:rPr>
            <m:t>Y</m:t>
          </m:r>
          <m:r>
            <w:rPr>
              <w:rFonts w:ascii="Cambria Math"/>
            </w:rPr>
            <m:t>=</m:t>
          </m:r>
          <m:r>
            <w:rPr>
              <w:rFonts w:ascii="Cambria Math" w:hAnsi="Cambria Math"/>
            </w:rPr>
            <m:t>T-</m:t>
          </m:r>
          <m:f>
            <m:fPr>
              <m:ctrlPr>
                <w:rPr>
                  <w:rFonts w:ascii="Cambria Math" w:hAnsi="Cambria Math"/>
                  <w:i/>
                </w:rPr>
              </m:ctrlPr>
            </m:fPr>
            <m:num>
              <m:d>
                <m:dPr>
                  <m:ctrlPr>
                    <w:rPr>
                      <w:rFonts w:ascii="Cambria Math" w:hAnsi="Cambria Math"/>
                      <w:i/>
                    </w:rPr>
                  </m:ctrlPr>
                </m:dPr>
                <m:e>
                  <m:r>
                    <w:rPr>
                      <w:rFonts w:ascii="Cambria Math" w:hAnsi="Cambria Math"/>
                    </w:rPr>
                    <m:t>T-B</m:t>
                  </m:r>
                </m:e>
              </m:d>
            </m:num>
            <m:den>
              <m:r>
                <w:rPr>
                  <w:rFonts w:asci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AC</m:t>
                          </m:r>
                          <m:r>
                            <w:rPr>
                              <w:rFonts w:ascii="Cambria Math"/>
                            </w:rPr>
                            <m:t>50</m:t>
                          </m:r>
                        </m:den>
                      </m:f>
                    </m:e>
                  </m:d>
                </m:e>
                <m:sup>
                  <m:r>
                    <w:rPr>
                      <w:rFonts w:ascii="Cambria Math" w:hAnsi="Cambria Math"/>
                    </w:rPr>
                    <m:t>W</m:t>
                  </m:r>
                </m:sup>
              </m:sSup>
            </m:den>
          </m:f>
        </m:oMath>
      </m:oMathPara>
    </w:p>
    <w:p w:rsidR="00AA3E0C" w:rsidRDefault="00AA3E0C" w:rsidP="00AA3E0C">
      <w:pPr>
        <w:pStyle w:val="TAMainText"/>
      </w:pPr>
      <w:r w:rsidRPr="00302919">
        <w:t xml:space="preserve"> </w:t>
      </w:r>
      <w:r>
        <w:t>The top (</w:t>
      </w:r>
      <w:r w:rsidRPr="00F253DF">
        <w:rPr>
          <w:rFonts w:ascii="Cambria Math" w:hAnsi="Cambria Math"/>
          <w:i/>
        </w:rPr>
        <w:t>T</w:t>
      </w:r>
      <w:r w:rsidRPr="00F253DF">
        <w:t>)</w:t>
      </w:r>
      <w:r w:rsidRPr="00302919">
        <w:rPr>
          <w:i/>
        </w:rPr>
        <w:t xml:space="preserve"> </w:t>
      </w:r>
      <w:r w:rsidRPr="00302919">
        <w:t xml:space="preserve">was constrained to +/- 20% of the maximum response observed across all assays in the group in order to minimize convergence errors. </w:t>
      </w:r>
      <w:r>
        <w:t>The bottom (</w:t>
      </w:r>
      <w:r w:rsidRPr="00F253DF">
        <w:rPr>
          <w:rFonts w:ascii="Cambria Math" w:hAnsi="Cambria Math"/>
          <w:i/>
        </w:rPr>
        <w:t>B</w:t>
      </w:r>
      <w:r w:rsidRPr="00F253DF">
        <w:t>)</w:t>
      </w:r>
      <w:r w:rsidRPr="00302919">
        <w:t xml:space="preserve"> was constrained to 0, and </w:t>
      </w:r>
      <w:r>
        <w:t>the hillslope (</w:t>
      </w:r>
      <w:r w:rsidRPr="00F253DF">
        <w:rPr>
          <w:rFonts w:ascii="Cambria Math" w:hAnsi="Cambria Math"/>
          <w:i/>
        </w:rPr>
        <w:t>W</w:t>
      </w:r>
      <w:r w:rsidRPr="00F253DF">
        <w:t>)</w:t>
      </w:r>
      <w:r w:rsidRPr="00302919">
        <w:rPr>
          <w:i/>
        </w:rPr>
        <w:t xml:space="preserve"> </w:t>
      </w:r>
      <w:r w:rsidRPr="00302919">
        <w:t>was constrained to 1.</w:t>
      </w:r>
      <w:r>
        <w:t xml:space="preserve"> </w:t>
      </w:r>
      <w:r w:rsidRPr="00F253DF">
        <w:rPr>
          <w:rFonts w:ascii="Cambria Math" w:hAnsi="Cambria Math"/>
          <w:i/>
        </w:rPr>
        <w:t>X</w:t>
      </w:r>
      <w:r>
        <w:rPr>
          <w:i/>
        </w:rPr>
        <w:t xml:space="preserve"> </w:t>
      </w:r>
      <w:r>
        <w:t xml:space="preserve">is the chemical concentration and </w:t>
      </w:r>
      <w:r w:rsidRPr="00F253DF">
        <w:rPr>
          <w:rFonts w:ascii="Cambria Math" w:hAnsi="Cambria Math"/>
          <w:i/>
        </w:rPr>
        <w:t>AC50</w:t>
      </w:r>
      <w:r>
        <w:rPr>
          <w:i/>
        </w:rPr>
        <w:t xml:space="preserve"> </w:t>
      </w:r>
      <w:r>
        <w:t xml:space="preserve">is the concentration at which 50% activity occurs. Lastly, </w:t>
      </w:r>
      <w:r w:rsidRPr="00F253DF">
        <w:rPr>
          <w:rFonts w:ascii="Cambria Math" w:hAnsi="Cambria Math"/>
          <w:i/>
        </w:rPr>
        <w:t>Y</w:t>
      </w:r>
      <w:r>
        <w:rPr>
          <w:i/>
        </w:rPr>
        <w:t xml:space="preserve"> </w:t>
      </w:r>
      <w:r>
        <w:t xml:space="preserve">is the resulting response value. The constraint for </w:t>
      </w:r>
      <w:r w:rsidRPr="00F253DF">
        <w:rPr>
          <w:rFonts w:ascii="Cambria Math" w:hAnsi="Cambria Math"/>
          <w:i/>
        </w:rPr>
        <w:t>B</w:t>
      </w:r>
      <w:r>
        <w:t xml:space="preserve"> was selected because the model was allowed to fit outside of the concentration range. This means that as </w:t>
      </w:r>
      <w:r w:rsidRPr="00F253DF">
        <w:rPr>
          <w:rFonts w:ascii="Cambria Math" w:hAnsi="Cambria Math"/>
          <w:i/>
        </w:rPr>
        <w:t>X</w:t>
      </w:r>
      <w:r>
        <w:t xml:space="preserve"> approaches 0, </w:t>
      </w:r>
      <w:r w:rsidRPr="00F253DF">
        <w:rPr>
          <w:rFonts w:ascii="Cambria Math" w:hAnsi="Cambria Math"/>
          <w:i/>
        </w:rPr>
        <w:t>B</w:t>
      </w:r>
      <w:r>
        <w:t xml:space="preserve"> should also approach 0. The constraint of 1 was selected for </w:t>
      </w:r>
      <w:r w:rsidRPr="00F253DF">
        <w:rPr>
          <w:rFonts w:ascii="Cambria Math" w:hAnsi="Cambria Math"/>
          <w:i/>
        </w:rPr>
        <w:t>W</w:t>
      </w:r>
      <w:r>
        <w:t xml:space="preserve"> to encourage convergence when responses varied within a group. Bootstrapping was performed i</w:t>
      </w:r>
      <w:r w:rsidRPr="00F63CB5">
        <w:t>n</w:t>
      </w:r>
      <w:r w:rsidRPr="00302919">
        <w:t xml:space="preserve"> order to determine the uncertainty around the composite model, </w:t>
      </w:r>
      <w:r>
        <w:t xml:space="preserve">this was done by generating </w:t>
      </w:r>
      <w:r w:rsidRPr="00302919">
        <w:t>100 composite models by sampling individual assays</w:t>
      </w:r>
      <w:r>
        <w:t xml:space="preserve"> in a group</w:t>
      </w:r>
      <w:r w:rsidRPr="00302919">
        <w:t xml:space="preserve"> with replacement. </w:t>
      </w:r>
      <w:r>
        <w:t>The</w:t>
      </w:r>
      <w:r w:rsidRPr="00302919">
        <w:t xml:space="preserve"> size of each sample was consistent with the number of unique assays</w:t>
      </w:r>
      <w:r>
        <w:t xml:space="preserve"> in the group.</w:t>
      </w:r>
      <w:r w:rsidRPr="00302919">
        <w:t xml:space="preserve"> </w:t>
      </w:r>
      <w:r>
        <w:t xml:space="preserve">For example, there were 7 assays in the agonist group, so 7 assays were sampled with replacement 100 times, and fit to a total of 100 composite curves. </w:t>
      </w:r>
      <w:r w:rsidRPr="00302919">
        <w:t xml:space="preserve">A 99% confidence interval of the bootstrapped samples was calculated at each </w:t>
      </w:r>
      <w:r>
        <w:t xml:space="preserve">of the 1000 </w:t>
      </w:r>
      <w:r w:rsidRPr="00302919">
        <w:t>interpolated concentration</w:t>
      </w:r>
      <w:r>
        <w:t>s along the composite models. This is advantageous because responses with more agreement at a given concentration will have narrower confidence intervals compared to discordant responses at a given concentration (Figure 3)</w:t>
      </w:r>
      <w:r w:rsidRPr="00302919">
        <w:t xml:space="preserve">. Because the growth group contained only a single assay, a 90% prediction interval was calculated from the sum of squared errors. In order to obtain uncertainty estimates when there were not enough data points available to calculate the prediction interval </w:t>
      </w:r>
      <w:r w:rsidRPr="00302919">
        <w:lastRenderedPageBreak/>
        <w:t xml:space="preserve">within the growth group, interpolated data points were added to the response but were weighted so that they did not impact the error calculation. </w:t>
      </w:r>
    </w:p>
    <w:p w:rsidR="00AA3E0C" w:rsidRDefault="00AA3E0C" w:rsidP="00AA3E0C">
      <w:pPr>
        <w:pStyle w:val="TAMainText"/>
      </w:pPr>
      <w:r>
        <w:rPr>
          <w:i/>
        </w:rPr>
        <w:t xml:space="preserve">Calculation of the ER Interaction Score.  </w:t>
      </w:r>
      <w:r>
        <w:t>An</w:t>
      </w:r>
      <w:r w:rsidRPr="00302919">
        <w:t xml:space="preserve"> Efficacy Score (%)</w:t>
      </w:r>
      <w:r>
        <w:t xml:space="preserve"> wa</w:t>
      </w:r>
      <w:r w:rsidRPr="00302919">
        <w:t xml:space="preserve">s calculated from the maximum value of the lower-window of the bootstrapped confidence interval. If the window does not overlap with zero, then a </w:t>
      </w:r>
      <w:r>
        <w:t>chemical</w:t>
      </w:r>
      <w:r w:rsidRPr="00302919">
        <w:t xml:space="preserve"> </w:t>
      </w:r>
      <w:r>
        <w:t>wa</w:t>
      </w:r>
      <w:r w:rsidRPr="00302919">
        <w:t xml:space="preserve">s considered to have </w:t>
      </w:r>
      <w:r>
        <w:t xml:space="preserve">a </w:t>
      </w:r>
      <w:r w:rsidRPr="00302919">
        <w:t xml:space="preserve">statistically significant response and </w:t>
      </w:r>
      <w:r>
        <w:t>given a</w:t>
      </w:r>
      <w:r w:rsidRPr="00302919">
        <w:t xml:space="preserve">n Efficacy Score &gt; 0. If the maximum value of the lower-window overlaps with 0, then the Efficacy Score will equal 0. </w:t>
      </w:r>
    </w:p>
    <w:p w:rsidR="00AA3E0C" w:rsidRPr="00302919" w:rsidRDefault="00AA3E0C" w:rsidP="00AA3E0C">
      <w:pPr>
        <w:pStyle w:val="TAMainText"/>
      </w:pPr>
      <w:r w:rsidRPr="00302919">
        <w:t xml:space="preserve">The first concentration at which the lower window of the confidence interval was greater than zero was annotated as the lowest effective concentration (LEC) (µM). The Potency Score (%) was obtained by taking the lowest and highest concentrations across all chemicals as 100% and 0%, respectively, and calculating the percentage at which the LEC occurs. If the lower-window of the confidence interval never increased above 0, then the Potency Score was set to 0. </w:t>
      </w:r>
      <w:r>
        <w:t>S</w:t>
      </w:r>
      <w:r w:rsidRPr="00302919">
        <w:t>eparate ERα and ERβ Potency Score</w:t>
      </w:r>
      <w:r>
        <w:t>s</w:t>
      </w:r>
      <w:r w:rsidRPr="00302919">
        <w:t xml:space="preserve"> </w:t>
      </w:r>
      <w:r>
        <w:t>were</w:t>
      </w:r>
      <w:r w:rsidRPr="00302919">
        <w:t xml:space="preserve"> calculated using the AC50</w:t>
      </w:r>
      <w:r>
        <w:t>s</w:t>
      </w:r>
      <w:r w:rsidRPr="00302919">
        <w:t xml:space="preserve"> from the OT_ERaERa_1440 and the OT_ERbERb_1440, respectively.</w:t>
      </w:r>
    </w:p>
    <w:p w:rsidR="00AA3E0C" w:rsidRPr="00302919" w:rsidRDefault="00AA3E0C" w:rsidP="00AA3E0C">
      <w:pPr>
        <w:pStyle w:val="TAMainText"/>
      </w:pPr>
      <w:r w:rsidRPr="00302919">
        <w:t>If both the Potency and Efficacy Scores were &gt; 0, the mean</w:t>
      </w:r>
      <w:r>
        <w:t>s</w:t>
      </w:r>
      <w:r w:rsidRPr="00302919">
        <w:t xml:space="preserve"> of the Potency Score</w:t>
      </w:r>
      <w:r>
        <w:t>s</w:t>
      </w:r>
      <w:r w:rsidRPr="00302919">
        <w:t xml:space="preserve"> and the Efficacy Scor</w:t>
      </w:r>
      <w:r>
        <w:t>e</w:t>
      </w:r>
      <w:r w:rsidRPr="00302919">
        <w:t xml:space="preserve">s </w:t>
      </w:r>
      <w:r>
        <w:t>were</w:t>
      </w:r>
      <w:r w:rsidRPr="00302919">
        <w:t xml:space="preserve"> assigned as the Composite Score </w:t>
      </w:r>
      <w:r>
        <w:t xml:space="preserve">(CS) </w:t>
      </w:r>
      <w:r w:rsidRPr="00302919">
        <w:t>for the chemical-group. Otherwise the C</w:t>
      </w:r>
      <w:r>
        <w:t xml:space="preserve">S </w:t>
      </w:r>
      <w:r w:rsidRPr="00302919">
        <w:t xml:space="preserve">is set to 0. </w:t>
      </w:r>
      <w:r>
        <w:t xml:space="preserve">The final </w:t>
      </w:r>
      <w:r w:rsidRPr="00302919">
        <w:t>C</w:t>
      </w:r>
      <w:r>
        <w:t>S</w:t>
      </w:r>
      <w:r w:rsidRPr="00302919">
        <w:t xml:space="preserve"> </w:t>
      </w:r>
      <w:r>
        <w:t xml:space="preserve">for each chemical-group was calculated by scaling the value to the </w:t>
      </w:r>
      <w:r w:rsidRPr="00302919">
        <w:t>maximum C</w:t>
      </w:r>
      <w:r>
        <w:t>S</w:t>
      </w:r>
      <w:r w:rsidRPr="00302919">
        <w:t xml:space="preserve"> within each group</w:t>
      </w:r>
      <w:r>
        <w:t>, so that when comparing across groups, each group is weighted equally</w:t>
      </w:r>
      <w:r w:rsidRPr="00302919">
        <w:t>.</w:t>
      </w:r>
      <w:r>
        <w:t xml:space="preserve"> </w:t>
      </w:r>
      <w:r w:rsidRPr="00302919">
        <w:t>A graphical representation of these parameters is shown in Figure 3. If all individual assays within a group were active for a chemical, but the composite score was 0</w:t>
      </w:r>
      <w:r>
        <w:t xml:space="preserve"> due to the uncertainty around the individual assay responses</w:t>
      </w:r>
      <w:r w:rsidRPr="00302919">
        <w:t xml:space="preserve">, then the chemical was flagged </w:t>
      </w:r>
      <w:r>
        <w:t>as a chemical of interest in the output file</w:t>
      </w:r>
      <w:r w:rsidRPr="00302919">
        <w:t>.</w:t>
      </w:r>
      <w:r>
        <w:t xml:space="preserve"> </w:t>
      </w:r>
      <w:r w:rsidRPr="00302919">
        <w:t xml:space="preserve"> </w:t>
      </w:r>
    </w:p>
    <w:p w:rsidR="00AA3E0C" w:rsidRPr="00302919" w:rsidRDefault="00AA3E0C" w:rsidP="00AA3E0C">
      <w:pPr>
        <w:pStyle w:val="TAMainText"/>
      </w:pPr>
      <w:r w:rsidRPr="00302919">
        <w:t xml:space="preserve">The ER Interaction Score is calculated based on the following logic: </w:t>
      </w:r>
    </w:p>
    <w:p w:rsidR="00AA3E0C" w:rsidRPr="00302919" w:rsidRDefault="00AA3E0C" w:rsidP="00AA3E0C">
      <w:pPr>
        <w:pStyle w:val="TAMainText"/>
      </w:pPr>
      <w:r w:rsidRPr="00302919">
        <w:lastRenderedPageBreak/>
        <w:t xml:space="preserve">(1) IF: </w:t>
      </w:r>
      <m:oMath>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agonist</m:t>
            </m:r>
          </m:sub>
        </m:sSub>
        <m:r>
          <w:rPr>
            <w:rFonts w:ascii="Cambria Math"/>
          </w:rPr>
          <m:t xml:space="preserve">&gt;0)  </m:t>
        </m:r>
        <m:r>
          <w:rPr>
            <w:rFonts w:ascii="Cambria Math" w:hAnsi="Cambria Math"/>
          </w:rPr>
          <m:t>AND</m:t>
        </m:r>
        <m:r>
          <w:rPr>
            <w:rFonts w:ascii="Cambria Math"/>
          </w:rPr>
          <m:t xml:space="preserve"> (</m:t>
        </m:r>
        <m:sSub>
          <m:sSubPr>
            <m:ctrlPr>
              <w:rPr>
                <w:rFonts w:ascii="Cambria Math" w:hAnsi="Cambria Math"/>
                <w:i/>
              </w:rPr>
            </m:ctrlPr>
          </m:sSubPr>
          <m:e>
            <m:r>
              <w:rPr>
                <w:rFonts w:ascii="Cambria Math" w:hAnsi="Cambria Math"/>
              </w:rPr>
              <m:t>CS</m:t>
            </m:r>
          </m:e>
          <m:sub>
            <m:r>
              <w:rPr>
                <w:rFonts w:ascii="Cambria Math" w:hAnsi="Cambria Math"/>
              </w:rPr>
              <m:t>agonist</m:t>
            </m:r>
          </m:sub>
        </m:sSub>
        <m:r>
          <w:rPr>
            <w:rFonts w:ascii="Cambria Math"/>
          </w:rPr>
          <m:t>&gt;</m:t>
        </m:r>
        <m:sSub>
          <m:sSubPr>
            <m:ctrlPr>
              <w:rPr>
                <w:rFonts w:ascii="Cambria Math" w:hAnsi="Cambria Math"/>
                <w:i/>
              </w:rPr>
            </m:ctrlPr>
          </m:sSubPr>
          <m:e>
            <m:r>
              <w:rPr>
                <w:rFonts w:ascii="Cambria Math" w:hAnsi="Cambria Math"/>
              </w:rPr>
              <m:t>CS</m:t>
            </m:r>
          </m:e>
          <m:sub>
            <m:r>
              <w:rPr>
                <w:rFonts w:ascii="Cambria Math" w:hAnsi="Cambria Math"/>
              </w:rPr>
              <m:t>antagonist</m:t>
            </m:r>
          </m:sub>
        </m:sSub>
        <m:r>
          <w:rPr>
            <w:rFonts w:ascii="Cambria Math"/>
          </w:rPr>
          <m:t>)</m:t>
        </m:r>
      </m:oMath>
    </w:p>
    <w:p w:rsidR="00AA3E0C" w:rsidRPr="00302919" w:rsidRDefault="00AA3E0C" w:rsidP="00AA3E0C">
      <w:pPr>
        <w:pStyle w:val="TAMainText"/>
      </w:pPr>
      <w:r w:rsidRPr="00302919">
        <w:tab/>
        <w:t xml:space="preserve">   THEN: </w:t>
      </w:r>
      <m:oMath>
        <m:r>
          <w:rPr>
            <w:rFonts w:ascii="Cambria Math" w:hAnsi="Cambria Math"/>
          </w:rPr>
          <m:t>ER</m:t>
        </m:r>
        <m:r>
          <w:rPr>
            <w:rFonts w:ascii="Cambria Math"/>
          </w:rPr>
          <m:t xml:space="preserve"> </m:t>
        </m:r>
        <m:r>
          <w:rPr>
            <w:rFonts w:ascii="Cambria Math" w:hAnsi="Cambria Math"/>
          </w:rPr>
          <m:t>Interaction</m:t>
        </m:r>
        <m:r>
          <w:rPr>
            <w:rFonts w:ascii="Cambria Math"/>
          </w:rPr>
          <m:t xml:space="preserve"> </m:t>
        </m:r>
        <m:r>
          <w:rPr>
            <w:rFonts w:ascii="Cambria Math" w:hAnsi="Cambria Math"/>
          </w:rPr>
          <m:t>Score</m:t>
        </m:r>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agonist</m:t>
            </m:r>
          </m:sub>
        </m:sSub>
        <m:r>
          <w:rPr>
            <w:rFonts w:ascii="Cambria Math"/>
          </w:rPr>
          <m:t xml:space="preserve">+ </m:t>
        </m:r>
        <m:sSub>
          <m:sSubPr>
            <m:ctrlPr>
              <w:rPr>
                <w:rFonts w:ascii="Cambria Math" w:hAnsi="Cambria Math"/>
                <w:i/>
              </w:rPr>
            </m:ctrlPr>
          </m:sSubPr>
          <m:e>
            <m:r>
              <w:rPr>
                <w:rFonts w:ascii="Cambria Math" w:hAnsi="Cambria Math"/>
              </w:rPr>
              <m:t>CS</m:t>
            </m:r>
          </m:e>
          <m:sub>
            <m:r>
              <w:rPr>
                <w:rFonts w:ascii="Cambria Math" w:hAnsi="Cambria Math"/>
              </w:rPr>
              <m:t>binding</m:t>
            </m:r>
          </m:sub>
        </m:sSub>
        <m:r>
          <w:rPr>
            <w:rFonts w:ascii="Cambria Math"/>
          </w:rPr>
          <m:t xml:space="preserve">+ </m:t>
        </m:r>
        <m:sSub>
          <m:sSubPr>
            <m:ctrlPr>
              <w:rPr>
                <w:rFonts w:ascii="Cambria Math" w:hAnsi="Cambria Math"/>
                <w:i/>
              </w:rPr>
            </m:ctrlPr>
          </m:sSubPr>
          <m:e>
            <m:r>
              <w:rPr>
                <w:rFonts w:ascii="Cambria Math" w:hAnsi="Cambria Math"/>
              </w:rPr>
              <m:t>CS</m:t>
            </m:r>
          </m:e>
          <m:sub>
            <m:r>
              <w:rPr>
                <w:rFonts w:ascii="Cambria Math" w:hAnsi="Cambria Math"/>
              </w:rPr>
              <m:t>growth</m:t>
            </m:r>
          </m:sub>
        </m:sSub>
        <m:r>
          <w:rPr>
            <w:rFonts w:ascii="Cambria Math"/>
          </w:rPr>
          <m:t>)/3</m:t>
        </m:r>
      </m:oMath>
      <w:r w:rsidRPr="00302919">
        <w:t xml:space="preserve">  </w:t>
      </w:r>
    </w:p>
    <w:p w:rsidR="00AA3E0C" w:rsidRPr="00302919" w:rsidRDefault="00AA3E0C" w:rsidP="00AA3E0C">
      <w:pPr>
        <w:pStyle w:val="TAMainText"/>
      </w:pPr>
      <w:r w:rsidRPr="00302919">
        <w:t xml:space="preserve">(2) IF: </w:t>
      </w:r>
      <m:oMath>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antagonist</m:t>
            </m:r>
          </m:sub>
        </m:sSub>
        <m:r>
          <w:rPr>
            <w:rFonts w:ascii="Cambria Math"/>
          </w:rPr>
          <m:t xml:space="preserve">&gt;0)  </m:t>
        </m:r>
        <m:r>
          <w:rPr>
            <w:rFonts w:ascii="Cambria Math" w:hAnsi="Cambria Math"/>
          </w:rPr>
          <m:t>AND</m:t>
        </m:r>
        <m:r>
          <w:rPr>
            <w:rFonts w:ascii="Cambria Math"/>
          </w:rPr>
          <m:t xml:space="preserve"> (</m:t>
        </m:r>
        <m:sSub>
          <m:sSubPr>
            <m:ctrlPr>
              <w:rPr>
                <w:rFonts w:ascii="Cambria Math" w:hAnsi="Cambria Math"/>
                <w:i/>
              </w:rPr>
            </m:ctrlPr>
          </m:sSubPr>
          <m:e>
            <m:r>
              <w:rPr>
                <w:rFonts w:ascii="Cambria Math" w:hAnsi="Cambria Math"/>
              </w:rPr>
              <m:t>CS</m:t>
            </m:r>
          </m:e>
          <m:sub>
            <m:r>
              <w:rPr>
                <w:rFonts w:ascii="Cambria Math" w:hAnsi="Cambria Math"/>
              </w:rPr>
              <m:t>antagonist</m:t>
            </m:r>
          </m:sub>
        </m:sSub>
        <m:r>
          <w:rPr>
            <w:rFonts w:ascii="Cambria Math"/>
          </w:rPr>
          <m:t>&gt;</m:t>
        </m:r>
        <m:sSub>
          <m:sSubPr>
            <m:ctrlPr>
              <w:rPr>
                <w:rFonts w:ascii="Cambria Math" w:hAnsi="Cambria Math"/>
                <w:i/>
              </w:rPr>
            </m:ctrlPr>
          </m:sSubPr>
          <m:e>
            <m:r>
              <w:rPr>
                <w:rFonts w:ascii="Cambria Math" w:hAnsi="Cambria Math"/>
              </w:rPr>
              <m:t>CS</m:t>
            </m:r>
          </m:e>
          <m:sub>
            <m:r>
              <w:rPr>
                <w:rFonts w:ascii="Cambria Math" w:hAnsi="Cambria Math"/>
              </w:rPr>
              <m:t>agonist</m:t>
            </m:r>
          </m:sub>
        </m:sSub>
        <m:r>
          <w:rPr>
            <w:rFonts w:ascii="Cambria Math"/>
          </w:rPr>
          <m:t>)</m:t>
        </m:r>
      </m:oMath>
    </w:p>
    <w:p w:rsidR="00AA3E0C" w:rsidRPr="00302919" w:rsidRDefault="00AA3E0C" w:rsidP="00AA3E0C">
      <w:pPr>
        <w:pStyle w:val="TAMainText"/>
      </w:pPr>
      <w:r w:rsidRPr="00302919">
        <w:t xml:space="preserve">    THEN: </w:t>
      </w:r>
      <m:oMath>
        <m:r>
          <w:rPr>
            <w:rFonts w:ascii="Cambria Math" w:hAnsi="Cambria Math"/>
          </w:rPr>
          <m:t>ER</m:t>
        </m:r>
        <m:r>
          <w:rPr>
            <w:rFonts w:ascii="Cambria Math"/>
          </w:rPr>
          <m:t xml:space="preserve"> </m:t>
        </m:r>
        <m:r>
          <w:rPr>
            <w:rFonts w:ascii="Cambria Math" w:hAnsi="Cambria Math"/>
          </w:rPr>
          <m:t>Interaction</m:t>
        </m:r>
        <m:r>
          <w:rPr>
            <w:rFonts w:ascii="Cambria Math"/>
          </w:rPr>
          <m:t xml:space="preserve"> </m:t>
        </m:r>
        <m:r>
          <w:rPr>
            <w:rFonts w:ascii="Cambria Math" w:hAnsi="Cambria Math"/>
          </w:rPr>
          <m:t>Score</m:t>
        </m:r>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antagonist</m:t>
            </m:r>
          </m:sub>
        </m:sSub>
        <m:r>
          <w:rPr>
            <w:rFonts w:ascii="Cambria Math"/>
          </w:rPr>
          <m:t xml:space="preserve">+ </m:t>
        </m:r>
        <m:sSub>
          <m:sSubPr>
            <m:ctrlPr>
              <w:rPr>
                <w:rFonts w:ascii="Cambria Math" w:hAnsi="Cambria Math"/>
                <w:i/>
              </w:rPr>
            </m:ctrlPr>
          </m:sSubPr>
          <m:e>
            <m:r>
              <w:rPr>
                <w:rFonts w:ascii="Cambria Math" w:hAnsi="Cambria Math"/>
              </w:rPr>
              <m:t>CS</m:t>
            </m:r>
          </m:e>
          <m:sub>
            <m:r>
              <w:rPr>
                <w:rFonts w:ascii="Cambria Math" w:hAnsi="Cambria Math"/>
              </w:rPr>
              <m:t>binding</m:t>
            </m:r>
          </m:sub>
        </m:sSub>
        <m:r>
          <w:rPr>
            <w:rFonts w:ascii="Cambria Math"/>
          </w:rPr>
          <m:t>)/2</m:t>
        </m:r>
      </m:oMath>
      <w:r w:rsidRPr="00302919">
        <w:t xml:space="preserve">  </w:t>
      </w:r>
    </w:p>
    <w:p w:rsidR="00AA3E0C" w:rsidRPr="00302919" w:rsidRDefault="00AA3E0C" w:rsidP="00AA3E0C">
      <w:pPr>
        <w:pStyle w:val="TAMainText"/>
      </w:pPr>
      <w:r w:rsidRPr="00302919">
        <w:t xml:space="preserve">(3) IF: </w:t>
      </w:r>
      <m:oMath>
        <m:d>
          <m:dPr>
            <m:ctrlPr>
              <w:rPr>
                <w:rFonts w:ascii="Cambria Math" w:hAnsi="Cambria Math"/>
                <w:i/>
              </w:rPr>
            </m:ctrlPr>
          </m:dPr>
          <m:e>
            <m:sSub>
              <m:sSubPr>
                <m:ctrlPr>
                  <w:rPr>
                    <w:rFonts w:ascii="Cambria Math" w:hAnsi="Cambria Math"/>
                    <w:i/>
                  </w:rPr>
                </m:ctrlPr>
              </m:sSubPr>
              <m:e>
                <m:r>
                  <w:rPr>
                    <w:rFonts w:ascii="Cambria Math" w:hAnsi="Cambria Math"/>
                  </w:rPr>
                  <m:t>CS</m:t>
                </m:r>
              </m:e>
              <m:sub>
                <m:r>
                  <w:rPr>
                    <w:rFonts w:ascii="Cambria Math" w:hAnsi="Cambria Math"/>
                  </w:rPr>
                  <m:t>agonist</m:t>
                </m:r>
              </m:sub>
            </m:sSub>
            <m:r>
              <w:rPr>
                <w:rFonts w:ascii="Cambria Math"/>
              </w:rPr>
              <m:t>=0</m:t>
            </m:r>
          </m:e>
        </m:d>
        <m:r>
          <w:rPr>
            <w:rFonts w:ascii="Cambria Math"/>
          </w:rPr>
          <m:t xml:space="preserve"> </m:t>
        </m:r>
        <m:r>
          <w:rPr>
            <w:rFonts w:ascii="Cambria Math" w:hAnsi="Cambria Math"/>
          </w:rPr>
          <m:t>AND</m:t>
        </m:r>
        <m:r>
          <w:rPr>
            <w:rFonts w:asci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CS</m:t>
                </m:r>
              </m:e>
              <m:sub>
                <m:r>
                  <w:rPr>
                    <w:rFonts w:ascii="Cambria Math" w:hAnsi="Cambria Math"/>
                  </w:rPr>
                  <m:t>antagonist</m:t>
                </m:r>
              </m:sub>
            </m:sSub>
            <m:r>
              <w:rPr>
                <w:rFonts w:ascii="Cambria Math"/>
              </w:rPr>
              <m:t>=0</m:t>
            </m:r>
          </m:e>
        </m:d>
        <m:r>
          <w:rPr>
            <w:rFonts w:ascii="Cambria Math" w:hAnsi="Cambria Math"/>
          </w:rPr>
          <m:t>AND</m:t>
        </m:r>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binding</m:t>
            </m:r>
          </m:sub>
        </m:sSub>
        <m:r>
          <w:rPr>
            <w:rFonts w:ascii="Cambria Math"/>
          </w:rPr>
          <m:t>&gt;0)</m:t>
        </m:r>
      </m:oMath>
      <w:r w:rsidRPr="00302919">
        <w:t xml:space="preserve"> </w:t>
      </w:r>
    </w:p>
    <w:p w:rsidR="00AA3E0C" w:rsidRPr="00302919" w:rsidRDefault="00AA3E0C" w:rsidP="00AA3E0C">
      <w:pPr>
        <w:pStyle w:val="TAMainText"/>
      </w:pPr>
      <w:r w:rsidRPr="00302919">
        <w:t xml:space="preserve">     THEN: </w:t>
      </w:r>
      <m:oMath>
        <m:r>
          <w:rPr>
            <w:rFonts w:ascii="Cambria Math" w:hAnsi="Cambria Math"/>
          </w:rPr>
          <m:t>ER</m:t>
        </m:r>
        <m:r>
          <w:rPr>
            <w:rFonts w:ascii="Cambria Math"/>
          </w:rPr>
          <m:t xml:space="preserve"> </m:t>
        </m:r>
        <m:r>
          <w:rPr>
            <w:rFonts w:ascii="Cambria Math" w:hAnsi="Cambria Math"/>
          </w:rPr>
          <m:t>Interaction</m:t>
        </m:r>
        <m:r>
          <w:rPr>
            <w:rFonts w:ascii="Cambria Math"/>
          </w:rPr>
          <m:t xml:space="preserve"> </m:t>
        </m:r>
        <m:r>
          <w:rPr>
            <w:rFonts w:ascii="Cambria Math" w:hAnsi="Cambria Math"/>
          </w:rPr>
          <m:t>Score</m:t>
        </m:r>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binding</m:t>
            </m:r>
          </m:sub>
        </m:sSub>
        <m:r>
          <w:rPr>
            <w:rFonts w:ascii="Cambria Math"/>
          </w:rPr>
          <m:t xml:space="preserve">+ </m:t>
        </m:r>
        <m:sSub>
          <m:sSubPr>
            <m:ctrlPr>
              <w:rPr>
                <w:rFonts w:ascii="Cambria Math" w:hAnsi="Cambria Math"/>
                <w:i/>
              </w:rPr>
            </m:ctrlPr>
          </m:sSubPr>
          <m:e>
            <m:r>
              <w:rPr>
                <w:rFonts w:ascii="Cambria Math" w:hAnsi="Cambria Math"/>
              </w:rPr>
              <m:t>CS</m:t>
            </m:r>
          </m:e>
          <m:sub>
            <m:r>
              <w:rPr>
                <w:rFonts w:ascii="Cambria Math" w:hAnsi="Cambria Math"/>
              </w:rPr>
              <m:t>growth</m:t>
            </m:r>
          </m:sub>
        </m:sSub>
        <m:r>
          <w:rPr>
            <w:rFonts w:ascii="Cambria Math"/>
          </w:rPr>
          <m:t>+ 0)/3</m:t>
        </m:r>
      </m:oMath>
      <w:r w:rsidRPr="00302919">
        <w:t xml:space="preserve">  </w:t>
      </w:r>
    </w:p>
    <w:p w:rsidR="00AA3E0C" w:rsidRPr="00302919" w:rsidRDefault="00AA3E0C" w:rsidP="00AA3E0C">
      <w:pPr>
        <w:pStyle w:val="TAMainText"/>
      </w:pPr>
      <w:r w:rsidRPr="00302919">
        <w:t xml:space="preserve">(4) IF: </w:t>
      </w:r>
      <m:oMath>
        <m:d>
          <m:dPr>
            <m:ctrlPr>
              <w:rPr>
                <w:rFonts w:ascii="Cambria Math" w:hAnsi="Cambria Math"/>
                <w:i/>
              </w:rPr>
            </m:ctrlPr>
          </m:dPr>
          <m:e>
            <m:sSub>
              <m:sSubPr>
                <m:ctrlPr>
                  <w:rPr>
                    <w:rFonts w:ascii="Cambria Math" w:hAnsi="Cambria Math"/>
                    <w:i/>
                  </w:rPr>
                </m:ctrlPr>
              </m:sSubPr>
              <m:e>
                <m:r>
                  <w:rPr>
                    <w:rFonts w:ascii="Cambria Math" w:hAnsi="Cambria Math"/>
                  </w:rPr>
                  <m:t>CS</m:t>
                </m:r>
              </m:e>
              <m:sub>
                <m:r>
                  <w:rPr>
                    <w:rFonts w:ascii="Cambria Math" w:hAnsi="Cambria Math"/>
                  </w:rPr>
                  <m:t>agonist</m:t>
                </m:r>
              </m:sub>
            </m:sSub>
            <m:r>
              <w:rPr>
                <w:rFonts w:ascii="Cambria Math"/>
              </w:rPr>
              <m:t>=0</m:t>
            </m:r>
          </m:e>
        </m:d>
        <m:r>
          <w:rPr>
            <w:rFonts w:ascii="Cambria Math"/>
          </w:rPr>
          <m:t xml:space="preserve"> </m:t>
        </m:r>
        <m:r>
          <w:rPr>
            <w:rFonts w:ascii="Cambria Math" w:hAnsi="Cambria Math"/>
          </w:rPr>
          <m:t>AND</m:t>
        </m:r>
        <m:r>
          <w:rPr>
            <w:rFonts w:asci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CS</m:t>
                </m:r>
              </m:e>
              <m:sub>
                <m:r>
                  <w:rPr>
                    <w:rFonts w:ascii="Cambria Math" w:hAnsi="Cambria Math"/>
                  </w:rPr>
                  <m:t>antagonist</m:t>
                </m:r>
              </m:sub>
            </m:sSub>
            <m:r>
              <w:rPr>
                <w:rFonts w:ascii="Cambria Math"/>
              </w:rPr>
              <m:t>=0</m:t>
            </m:r>
          </m:e>
        </m:d>
        <m:r>
          <w:rPr>
            <w:rFonts w:ascii="Cambria Math" w:hAnsi="Cambria Math"/>
          </w:rPr>
          <m:t>AND</m:t>
        </m:r>
        <m:r>
          <w:rPr>
            <w:rFonts w:ascii="Cambria Math"/>
          </w:rPr>
          <m:t>(</m:t>
        </m:r>
        <m:sSub>
          <m:sSubPr>
            <m:ctrlPr>
              <w:rPr>
                <w:rFonts w:ascii="Cambria Math" w:hAnsi="Cambria Math"/>
                <w:i/>
              </w:rPr>
            </m:ctrlPr>
          </m:sSubPr>
          <m:e>
            <m:r>
              <w:rPr>
                <w:rFonts w:ascii="Cambria Math" w:hAnsi="Cambria Math"/>
              </w:rPr>
              <m:t>CS</m:t>
            </m:r>
          </m:e>
          <m:sub>
            <m:r>
              <w:rPr>
                <w:rFonts w:ascii="Cambria Math" w:hAnsi="Cambria Math"/>
              </w:rPr>
              <m:t>binding</m:t>
            </m:r>
          </m:sub>
        </m:sSub>
        <m:r>
          <w:rPr>
            <w:rFonts w:ascii="Cambria Math"/>
          </w:rPr>
          <m:t>=0)</m:t>
        </m:r>
      </m:oMath>
      <w:r w:rsidRPr="00302919">
        <w:t xml:space="preserve"> </w:t>
      </w:r>
    </w:p>
    <w:p w:rsidR="00AA3E0C" w:rsidRPr="00302919" w:rsidRDefault="00AA3E0C" w:rsidP="00AA3E0C">
      <w:pPr>
        <w:pStyle w:val="TAMainText"/>
      </w:pPr>
      <w:r w:rsidRPr="00302919">
        <w:t xml:space="preserve">     THEN: </w:t>
      </w:r>
      <m:oMath>
        <m:r>
          <w:rPr>
            <w:rFonts w:ascii="Cambria Math" w:hAnsi="Cambria Math"/>
          </w:rPr>
          <m:t>ER</m:t>
        </m:r>
        <m:r>
          <w:rPr>
            <w:rFonts w:ascii="Cambria Math"/>
          </w:rPr>
          <m:t xml:space="preserve"> </m:t>
        </m:r>
        <m:r>
          <w:rPr>
            <w:rFonts w:ascii="Cambria Math" w:hAnsi="Cambria Math"/>
          </w:rPr>
          <m:t>Interaction</m:t>
        </m:r>
        <m:r>
          <w:rPr>
            <w:rFonts w:ascii="Cambria Math"/>
          </w:rPr>
          <m:t xml:space="preserve"> </m:t>
        </m:r>
        <m:r>
          <w:rPr>
            <w:rFonts w:ascii="Cambria Math" w:hAnsi="Cambria Math"/>
          </w:rPr>
          <m:t>Score</m:t>
        </m:r>
        <m:r>
          <w:rPr>
            <w:rFonts w:ascii="Cambria Math"/>
          </w:rPr>
          <m:t>=0</m:t>
        </m:r>
      </m:oMath>
      <w:r w:rsidRPr="00302919">
        <w:t xml:space="preserve">  </w:t>
      </w:r>
    </w:p>
    <w:p w:rsidR="00AA3E0C" w:rsidRPr="00302919" w:rsidRDefault="00AA3E0C" w:rsidP="00AA3E0C">
      <w:pPr>
        <w:pStyle w:val="TAMainText"/>
      </w:pPr>
      <w:r w:rsidRPr="00302919">
        <w:t>Where CS</w:t>
      </w:r>
      <w:r w:rsidRPr="00302919">
        <w:rPr>
          <w:vertAlign w:val="subscript"/>
        </w:rPr>
        <w:t>agonist</w:t>
      </w:r>
      <w:r w:rsidRPr="00302919">
        <w:t xml:space="preserve"> is the agonist Composite Score, CS</w:t>
      </w:r>
      <w:r w:rsidRPr="00302919">
        <w:rPr>
          <w:vertAlign w:val="subscript"/>
        </w:rPr>
        <w:t>antagonist</w:t>
      </w:r>
      <w:r w:rsidRPr="00302919">
        <w:t xml:space="preserve"> is the antagonist Composite Score, CS</w:t>
      </w:r>
      <w:r w:rsidRPr="00302919">
        <w:rPr>
          <w:vertAlign w:val="subscript"/>
        </w:rPr>
        <w:t>binding</w:t>
      </w:r>
      <w:r w:rsidRPr="00302919">
        <w:t xml:space="preserve"> is the binding Composite Score, and CS</w:t>
      </w:r>
      <w:r w:rsidRPr="00302919">
        <w:rPr>
          <w:vertAlign w:val="subscript"/>
        </w:rPr>
        <w:t>growth</w:t>
      </w:r>
      <w:r w:rsidRPr="00302919">
        <w:t xml:space="preserve"> is the growth Composite Score. </w:t>
      </w:r>
      <w:r>
        <w:t xml:space="preserve">The </w:t>
      </w:r>
      <w:r w:rsidRPr="00A76307">
        <w:t>0 term</w:t>
      </w:r>
      <w:r>
        <w:t xml:space="preserve"> is added to (3)</w:t>
      </w:r>
      <w:r w:rsidRPr="00A76307">
        <w:t xml:space="preserve"> because the binding assays cannot distinguish ag</w:t>
      </w:r>
      <w:r>
        <w:t xml:space="preserve">onist from antagonist activity; therefore, </w:t>
      </w:r>
      <w:r w:rsidRPr="00A76307">
        <w:t>we use the 0 term to represent the value from either the CSagonist or CSantagonist.</w:t>
      </w:r>
    </w:p>
    <w:p w:rsidR="00AA3E0C" w:rsidRPr="00302919" w:rsidRDefault="00AA3E0C" w:rsidP="00AA3E0C">
      <w:pPr>
        <w:pStyle w:val="TAMainText"/>
      </w:pPr>
      <w:r w:rsidRPr="00302919">
        <w:rPr>
          <w:i/>
        </w:rPr>
        <w:t>Hierarchical Clustering</w:t>
      </w:r>
      <w:r>
        <w:rPr>
          <w:i/>
        </w:rPr>
        <w:t>.</w:t>
      </w:r>
      <w:r>
        <w:t xml:space="preserve">  Two-way h</w:t>
      </w:r>
      <w:r w:rsidRPr="00302919">
        <w:t xml:space="preserve">ierarchical clustering was performed using the “pheatmap” package in statistical software, R </w:t>
      </w:r>
      <w:r w:rsidRPr="00302919">
        <w:fldChar w:fldCharType="begin"/>
      </w:r>
      <w:r w:rsidR="0077366F">
        <w:instrText xml:space="preserve"> ADDIN ZOTERO_ITEM CSL_CITATION {"citationID":"1kncn4qb9","properties":{"formattedCitation":"{\\rtf \\super 19,20\\nosupersub{}}","plainCitation":"19,20"},"citationItems":[{"id":154,"uris":["http://zotero.org/users/1283946/items/HTKBIJBN"],"uri":["http://zotero.org/users/1283946/items/HTKBIJBN"],"itemData":{"id":154,"type":"article","title":"R: A language and environment for statistical computing. R Foundation for Statistical Computing, Vienna, Austria. ISBN 3-900051-07-0, URL http://www.R-project.org/.","publisher":"R Foundation for Statistical Computing, Vienna, Austria","source":"ISBN 3-900051-07-0","URL":"http://www.R-project.org","author":[{"family":"R Development Core Team","given":""}],"issued":{"date-parts":[["2013"]]}}},{"id":235,"uris":["http://zotero.org/users/1283946/items/T8FXWPV5"],"uri":["http://zotero.org/users/1283946/items/T8FXWPV5"],"itemData":{"id":235,"type":"article","title":"pheatmap: Pretty Heatmaps. R package version 0.7.3.http://CRAN.R-project.org/package=pheatmap","author":[{"family":"Raivo Kolde","given":""}],"issued":{"date-parts":[["2012"]]}}}],"schema":"https://github.com/citation-style-language/schema/raw/master/csl-citation.json"} </w:instrText>
      </w:r>
      <w:r w:rsidRPr="00302919">
        <w:fldChar w:fldCharType="separate"/>
      </w:r>
      <w:r w:rsidR="0077366F" w:rsidRPr="0077366F">
        <w:rPr>
          <w:rFonts w:cs="Times"/>
          <w:szCs w:val="24"/>
          <w:vertAlign w:val="superscript"/>
        </w:rPr>
        <w:t>19,20</w:t>
      </w:r>
      <w:r w:rsidRPr="00302919">
        <w:fldChar w:fldCharType="end"/>
      </w:r>
      <w:r w:rsidRPr="00302919">
        <w:t xml:space="preserve">. Two separate heatmaps were generated, one with all chemicals, and one with only chemicals </w:t>
      </w:r>
      <w:r>
        <w:t>with</w:t>
      </w:r>
      <w:r w:rsidRPr="00302919">
        <w:t xml:space="preserve"> Composite Scores &gt; 0 for at least one group (binding, agonist, antagonist, or growth). Clustering was performed using Euclidean distance and Ward’s method.</w:t>
      </w:r>
    </w:p>
    <w:p w:rsidR="00AA3E0C" w:rsidRPr="00302919" w:rsidRDefault="00AA3E0C" w:rsidP="00AA3E0C">
      <w:pPr>
        <w:pStyle w:val="TAMainText"/>
      </w:pPr>
      <w:r w:rsidRPr="00302919">
        <w:rPr>
          <w:i/>
        </w:rPr>
        <w:t>Model Evaluation</w:t>
      </w:r>
      <w:r>
        <w:rPr>
          <w:i/>
        </w:rPr>
        <w:t>.</w:t>
      </w:r>
      <w:r>
        <w:t xml:space="preserve">  </w:t>
      </w:r>
      <w:r w:rsidRPr="00302919">
        <w:t>The impact of the linear transformation was determined by comparing distributions of R</w:t>
      </w:r>
      <w:r w:rsidRPr="00302919">
        <w:rPr>
          <w:vertAlign w:val="superscript"/>
        </w:rPr>
        <w:t>2</w:t>
      </w:r>
      <w:r w:rsidRPr="00302919">
        <w:t xml:space="preserve"> values </w:t>
      </w:r>
      <w:r>
        <w:t>across</w:t>
      </w:r>
      <w:r w:rsidRPr="00302919">
        <w:t xml:space="preserve"> chemicals in the agonist and antagonist groups, respectively, with and without the linear transformation. Statistical significance was determined using a one-tailed Wilcoxon test </w:t>
      </w:r>
      <w:r>
        <w:t xml:space="preserve">and a false-discovery rate correction was applied to correct for multiple comparisons </w:t>
      </w:r>
      <w:r w:rsidRPr="00302919">
        <w:t>(</w:t>
      </w:r>
      <w:r w:rsidRPr="00F253DF">
        <w:rPr>
          <w:i/>
        </w:rPr>
        <w:t>q</w:t>
      </w:r>
      <w:r>
        <w:t xml:space="preserve"> &lt;</w:t>
      </w:r>
      <w:r w:rsidRPr="00302919">
        <w:t xml:space="preserve"> 0.05)</w:t>
      </w:r>
      <w:r>
        <w:fldChar w:fldCharType="begin"/>
      </w:r>
      <w:r w:rsidR="0077366F">
        <w:instrText xml:space="preserve"> ADDIN ZOTERO_ITEM CSL_CITATION {"citationID":"1domdichqb","properties":{"formattedCitation":"{\\rtf \\super 21\\nosupersub{}}","plainCitation":"21"},"citationItems":[{"id":848,"uris":["http://zotero.org/users/1283946/items/IBZFN8ZT"],"uri":["http://zotero.org/users/1283946/items/IBZFN8ZT"],"itemData":{"id":848,"type":"article-journal","title":"Controlling the false discovery rate: a practical and powerful approach to multiple testing","container-title":"Journal of the Royal Statistical Society. Series B (Methodological)","page":"289–300","source":"Google Scholar","shortTitle":"Controlling the false discovery rate","author":[{"family":"Benjamini","given":"Yoav"},{"family":"Hochberg","given":"Yosef"}],"issued":{"date-parts":[["1995"]]},"accessed":{"date-parts":[["2014",3,19]]}}}],"schema":"https://github.com/citation-style-language/schema/raw/master/csl-citation.json"} </w:instrText>
      </w:r>
      <w:r>
        <w:fldChar w:fldCharType="separate"/>
      </w:r>
      <w:r w:rsidR="0077366F" w:rsidRPr="0077366F">
        <w:rPr>
          <w:rFonts w:cs="Times"/>
          <w:szCs w:val="24"/>
          <w:vertAlign w:val="superscript"/>
        </w:rPr>
        <w:t>21</w:t>
      </w:r>
      <w:r>
        <w:fldChar w:fldCharType="end"/>
      </w:r>
      <w:r w:rsidRPr="00302919">
        <w:t xml:space="preserve">. </w:t>
      </w:r>
      <w:r>
        <w:t>In addition, t</w:t>
      </w:r>
      <w:r w:rsidRPr="00302919">
        <w:t xml:space="preserve">he analysis was repeated with only chemicals that produced ER Interaction Scores &gt; 0.   </w:t>
      </w:r>
    </w:p>
    <w:p w:rsidR="00AA3E0C" w:rsidRDefault="00AA3E0C" w:rsidP="00AA3E0C">
      <w:pPr>
        <w:pStyle w:val="TAMainText"/>
      </w:pPr>
      <w:r w:rsidRPr="00302919">
        <w:lastRenderedPageBreak/>
        <w:t>A</w:t>
      </w:r>
      <w:r>
        <w:t xml:space="preserve"> </w:t>
      </w:r>
      <w:r w:rsidRPr="00302919">
        <w:t xml:space="preserve">comparison </w:t>
      </w:r>
      <w:r>
        <w:t xml:space="preserve">of the ER Interaction Score was made to </w:t>
      </w:r>
      <w:r w:rsidRPr="00302919">
        <w:t>3</w:t>
      </w:r>
      <w:r>
        <w:t>6</w:t>
      </w:r>
      <w:r w:rsidRPr="00302919">
        <w:t xml:space="preserve"> ER reference </w:t>
      </w:r>
      <w:r>
        <w:t xml:space="preserve">(both positive and negative) </w:t>
      </w:r>
      <w:r w:rsidRPr="00302919">
        <w:t>chemicals</w:t>
      </w:r>
      <w:r>
        <w:t xml:space="preserve">. </w:t>
      </w:r>
      <w:r w:rsidR="003D7D44">
        <w:t xml:space="preserve">A list of reference chemicals and the details regarding the selection and curation of the reference chemical list can be found in the SI. and a list of the </w:t>
      </w:r>
      <w:r>
        <w:t xml:space="preserve">reference chemicals is available in </w:t>
      </w:r>
      <w:r w:rsidR="00B62F33">
        <w:t>T</w:t>
      </w:r>
      <w:r>
        <w:t xml:space="preserve">able </w:t>
      </w:r>
      <w:r w:rsidR="00B62F33">
        <w:t>S</w:t>
      </w:r>
      <w:r>
        <w:t>1</w:t>
      </w:r>
      <w:r w:rsidR="00B62F33">
        <w:t xml:space="preserve"> in the SI</w:t>
      </w:r>
      <w:r>
        <w:t xml:space="preserve">. </w:t>
      </w:r>
      <w:r w:rsidRPr="00302919">
        <w:t>ER Interaction Scores were binned by reference chemical categories</w:t>
      </w:r>
      <w:r w:rsidR="003D7D44">
        <w:t xml:space="preserve"> (</w:t>
      </w:r>
      <w:r w:rsidR="003D7D44" w:rsidRPr="00302919">
        <w:t>strong, strong-moderate, moderate, weak, very weak/ agonist (metabolism required), or negative</w:t>
      </w:r>
      <w:r w:rsidR="003D7D44">
        <w:t>)</w:t>
      </w:r>
      <w:r w:rsidRPr="00302919">
        <w:t xml:space="preserve">, and the distributions </w:t>
      </w:r>
      <w:r>
        <w:t>displayed</w:t>
      </w:r>
      <w:r w:rsidRPr="00302919">
        <w:t xml:space="preserve"> as box plots. Each group of binned ER Interaction Scores was tested for significance using the Mann-Whitney U test. A binned group was considered statistically significantly different from another group if the Mann-Whitney U test resulted in a </w:t>
      </w:r>
      <w:r w:rsidRPr="00302919">
        <w:rPr>
          <w:i/>
        </w:rPr>
        <w:t xml:space="preserve">p </w:t>
      </w:r>
      <w:r w:rsidRPr="00302919">
        <w:t xml:space="preserve">&lt; 0.1. The overall trend was tested for significance </w:t>
      </w:r>
      <w:r>
        <w:t>using a</w:t>
      </w:r>
      <w:r w:rsidRPr="00302919">
        <w:t xml:space="preserve"> Kruskal-Wallis</w:t>
      </w:r>
      <w:r>
        <w:t xml:space="preserve"> test</w:t>
      </w:r>
      <w:r w:rsidRPr="00302919">
        <w:t>.</w:t>
      </w:r>
    </w:p>
    <w:p w:rsidR="00AA3E0C" w:rsidRDefault="00AA3E0C" w:rsidP="00AA3E0C">
      <w:pPr>
        <w:pStyle w:val="TAMainText"/>
      </w:pPr>
      <w:r>
        <w:t xml:space="preserve">The association between the ER Interaction Scores and </w:t>
      </w:r>
      <w:r>
        <w:rPr>
          <w:i/>
        </w:rPr>
        <w:t xml:space="preserve">in </w:t>
      </w:r>
      <w:r w:rsidRPr="004633F8">
        <w:rPr>
          <w:i/>
        </w:rPr>
        <w:t>vivo</w:t>
      </w:r>
      <w:r>
        <w:rPr>
          <w:i/>
        </w:rPr>
        <w:t xml:space="preserve"> </w:t>
      </w:r>
      <w:r>
        <w:t xml:space="preserve">rodent estrogenicity was determined using a subset of chemicals with available </w:t>
      </w:r>
      <w:r>
        <w:rPr>
          <w:i/>
        </w:rPr>
        <w:t xml:space="preserve">in vivo </w:t>
      </w:r>
      <w:r>
        <w:t>u</w:t>
      </w:r>
      <w:r w:rsidRPr="00302919">
        <w:t xml:space="preserve">terotrophic </w:t>
      </w:r>
      <w:r>
        <w:t xml:space="preserve">data from </w:t>
      </w:r>
      <w:r w:rsidR="00A56EA3">
        <w:t>the Organisation of Economic Co-operation and Development (</w:t>
      </w:r>
      <w:r w:rsidRPr="00302919">
        <w:t>OECD</w:t>
      </w:r>
      <w:r w:rsidR="00A56EA3">
        <w:t>)</w:t>
      </w:r>
      <w:r w:rsidRPr="00302919">
        <w:t xml:space="preserve"> guideline and </w:t>
      </w:r>
      <w:r w:rsidR="00A56EA3">
        <w:t>Endocrine Disruptor Screening Program (</w:t>
      </w:r>
      <w:r w:rsidRPr="00302919">
        <w:t>EDSP</w:t>
      </w:r>
      <w:r w:rsidR="00A56EA3">
        <w:t>)</w:t>
      </w:r>
      <w:r w:rsidRPr="00302919">
        <w:t xml:space="preserve"> T1S validation studies</w:t>
      </w:r>
      <w:r>
        <w:t>. C</w:t>
      </w:r>
      <w:r w:rsidRPr="00302919">
        <w:t>hemical activity</w:t>
      </w:r>
      <w:r>
        <w:t xml:space="preserve"> from these studies</w:t>
      </w:r>
      <w:r w:rsidRPr="00302919">
        <w:t xml:space="preserve"> w</w:t>
      </w:r>
      <w:r>
        <w:t>as</w:t>
      </w:r>
      <w:r w:rsidRPr="00302919">
        <w:t xml:space="preserve"> classified as either being active or inactive for agonist or antagonist activity based on changes in rodent uterine weight</w:t>
      </w:r>
      <w:r>
        <w:t>,</w:t>
      </w:r>
      <w:r w:rsidRPr="00302919">
        <w:t xml:space="preserve"> </w:t>
      </w:r>
      <w:r>
        <w:t xml:space="preserve">and was </w:t>
      </w:r>
      <w:r w:rsidRPr="00302919">
        <w:t xml:space="preserve">consistent with Rotroff et al. </w:t>
      </w:r>
      <w:r>
        <w:fldChar w:fldCharType="begin"/>
      </w:r>
      <w:r w:rsidR="0077366F">
        <w:instrText xml:space="preserve"> ADDIN ZOTERO_ITEM CSL_CITATION {"citationID":"1fednvcrtd","properties":{"formattedCitation":"{\\rtf \\super 22\\nosupersub{}}","plainCitation":"22"},"citationItems":[{"id":81,"uris":["http://zotero.org/users/1283946/items/9QSF4KCA"],"uri":["http://zotero.org/users/1283946/items/9QSF4KCA"],"itemData":{"id":81,"type":"article-journal","title":"Using in Vitro High Throughput Screening Assays to Identify Potential Endocrine-Disrupting Chemicals","container-title":"Environmental Health Perspectives","page":"7","volume":"121","issue":"1","source":"Google Scholar","author":[{"family":"Rotroff","given":"D. M."},{"family":"Dix","given":"D. J."},{"family":"Houck","given":"K. A."},{"family":"Knudsen","given":"T. B."},{"family":"Martin","given":"M. T."},{"family":"McLaurin","given":"K. W."},{"family":"Reif","given":"D. M."},{"family":"Crofton","given":"K. M."},{"family":"Singh","given":"A. V."},{"family":"Xia","given":"M."}],"issued":{"date-parts":[["2013"]]},"accessed":{"date-parts":[["2013",2,3]]}}}],"schema":"https://github.com/citation-style-language/schema/raw/master/csl-citation.json"} </w:instrText>
      </w:r>
      <w:r>
        <w:fldChar w:fldCharType="separate"/>
      </w:r>
      <w:r w:rsidR="0077366F" w:rsidRPr="0077366F">
        <w:rPr>
          <w:rFonts w:cs="Times"/>
          <w:szCs w:val="24"/>
          <w:vertAlign w:val="superscript"/>
        </w:rPr>
        <w:t>22</w:t>
      </w:r>
      <w:r>
        <w:fldChar w:fldCharType="end"/>
      </w:r>
      <w:r>
        <w:t xml:space="preserve">(See </w:t>
      </w:r>
      <w:r w:rsidR="00B62F33">
        <w:t>SI</w:t>
      </w:r>
      <w:r>
        <w:t>)</w:t>
      </w:r>
      <w:r w:rsidRPr="00302919">
        <w:t xml:space="preserve">. </w:t>
      </w:r>
    </w:p>
    <w:p w:rsidR="00AA3E0C" w:rsidRDefault="00AA3E0C" w:rsidP="00AA3E0C">
      <w:pPr>
        <w:pStyle w:val="TAMainText"/>
      </w:pPr>
      <w:r>
        <w:t xml:space="preserve">Comparisons of the ER Interaction Score to both the ER reference chemical set and the uterotrophic data was evaluated based on sensitivity (the ability to correctly classify positives) and specificity (ability to correctly classify negatives). Sensitivity is measured as the proportion of chemicals with ER Interaction Scores &gt; 0 which were also classified as active in either the ER reference chemicals or the uterotrophic analysis. Specificity is measured as the proportion of chemicals with ER Interaction Scores equal to 0 which were also classified as inactive in either </w:t>
      </w:r>
      <w:r>
        <w:lastRenderedPageBreak/>
        <w:t>the ER reference chemicals or the uterotrophic analysis. Balanced accuracy refers to the mean of the sensitivity and specificity.</w:t>
      </w:r>
    </w:p>
    <w:p w:rsidR="00AA3E0C" w:rsidRPr="00AA3E0C" w:rsidRDefault="00AA3E0C" w:rsidP="00AA3E0C">
      <w:pPr>
        <w:pStyle w:val="TAMainText"/>
        <w:rPr>
          <w:b/>
        </w:rPr>
      </w:pPr>
      <w:r w:rsidRPr="00AA3E0C">
        <w:rPr>
          <w:b/>
        </w:rPr>
        <w:t>Results</w:t>
      </w:r>
    </w:p>
    <w:p w:rsidR="00AA3E0C" w:rsidRPr="00302919" w:rsidRDefault="00AA3E0C" w:rsidP="00AA3E0C">
      <w:pPr>
        <w:pStyle w:val="TAMainText"/>
      </w:pPr>
      <w:r>
        <w:rPr>
          <w:i/>
        </w:rPr>
        <w:t xml:space="preserve">Breakdown of Group-wise ER Assay Activity.  </w:t>
      </w:r>
      <w:r>
        <w:t xml:space="preserve">Experimental data used in the analysis was obtained from a </w:t>
      </w:r>
      <w:r w:rsidRPr="00302919">
        <w:t>total of 18</w:t>
      </w:r>
      <w:r>
        <w:t>14</w:t>
      </w:r>
      <w:r w:rsidRPr="00302919">
        <w:t xml:space="preserve"> chemicals </w:t>
      </w:r>
      <w:r>
        <w:t xml:space="preserve">tested in the 13 assays (Table </w:t>
      </w:r>
      <w:r w:rsidRPr="00302919">
        <w:t>1</w:t>
      </w:r>
      <w:r>
        <w:t>)</w:t>
      </w:r>
      <w:r w:rsidRPr="00302919">
        <w:t>. Assays were split into four groups</w:t>
      </w:r>
      <w:r w:rsidRPr="00153AD4">
        <w:t xml:space="preserve"> </w:t>
      </w:r>
      <w:r w:rsidRPr="00302919">
        <w:t xml:space="preserve">depending on the type of </w:t>
      </w:r>
      <w:r>
        <w:t xml:space="preserve">ER-dependent </w:t>
      </w:r>
      <w:r w:rsidRPr="00302919">
        <w:t>activity reported</w:t>
      </w:r>
      <w:r>
        <w:t>:</w:t>
      </w:r>
      <w:r w:rsidRPr="00302919">
        <w:t xml:space="preserve"> </w:t>
      </w:r>
      <w:r>
        <w:t xml:space="preserve">receptor </w:t>
      </w:r>
      <w:r w:rsidRPr="00302919">
        <w:t>binding, agonist</w:t>
      </w:r>
      <w:r>
        <w:t xml:space="preserve"> mode transactivation</w:t>
      </w:r>
      <w:r w:rsidRPr="00302919">
        <w:t>, antagonist</w:t>
      </w:r>
      <w:r>
        <w:t xml:space="preserve"> mode transactivation</w:t>
      </w:r>
      <w:r w:rsidRPr="00302919">
        <w:t>, and</w:t>
      </w:r>
      <w:r>
        <w:t xml:space="preserve"> cell</w:t>
      </w:r>
      <w:r w:rsidRPr="00302919">
        <w:t xml:space="preserve"> growth. </w:t>
      </w:r>
      <w:r>
        <w:t xml:space="preserve">A CS value was calculated for each chemical in each of the four groups. </w:t>
      </w:r>
      <w:r w:rsidRPr="00302919">
        <w:t xml:space="preserve">Overall, </w:t>
      </w:r>
      <w:r>
        <w:t>47</w:t>
      </w:r>
      <w:r w:rsidRPr="00302919">
        <w:t xml:space="preserve"> (2.</w:t>
      </w:r>
      <w:r>
        <w:t>6</w:t>
      </w:r>
      <w:r w:rsidRPr="00302919">
        <w:t xml:space="preserve">%), </w:t>
      </w:r>
      <w:r>
        <w:t>212</w:t>
      </w:r>
      <w:r w:rsidRPr="00302919">
        <w:t xml:space="preserve"> (</w:t>
      </w:r>
      <w:r>
        <w:t>11</w:t>
      </w:r>
      <w:r w:rsidRPr="00302919">
        <w:t>.</w:t>
      </w:r>
      <w:r>
        <w:t>7</w:t>
      </w:r>
      <w:r w:rsidRPr="00302919">
        <w:t>%), 10</w:t>
      </w:r>
      <w:r>
        <w:t>7</w:t>
      </w:r>
      <w:r w:rsidRPr="00302919">
        <w:t xml:space="preserve"> (</w:t>
      </w:r>
      <w:r>
        <w:t>5.9</w:t>
      </w:r>
      <w:r w:rsidRPr="00302919">
        <w:t xml:space="preserve">%), </w:t>
      </w:r>
      <w:r>
        <w:t>253</w:t>
      </w:r>
      <w:r w:rsidRPr="00302919">
        <w:t xml:space="preserve"> (</w:t>
      </w:r>
      <w:r>
        <w:t>13.9</w:t>
      </w:r>
      <w:r w:rsidRPr="00302919">
        <w:t xml:space="preserve">%) chemicals produced </w:t>
      </w:r>
      <w:r>
        <w:t>CS values</w:t>
      </w:r>
      <w:r w:rsidRPr="00302919">
        <w:t xml:space="preserve"> &gt; 0 for CS</w:t>
      </w:r>
      <w:r w:rsidRPr="00302919">
        <w:rPr>
          <w:vertAlign w:val="subscript"/>
        </w:rPr>
        <w:t>binding</w:t>
      </w:r>
      <w:r w:rsidRPr="00302919">
        <w:t>, CS</w:t>
      </w:r>
      <w:r w:rsidRPr="00302919">
        <w:rPr>
          <w:vertAlign w:val="subscript"/>
        </w:rPr>
        <w:t>agonist</w:t>
      </w:r>
      <w:r w:rsidRPr="00302919">
        <w:t>, CS</w:t>
      </w:r>
      <w:r w:rsidRPr="00302919">
        <w:rPr>
          <w:vertAlign w:val="subscript"/>
        </w:rPr>
        <w:t>antagonist</w:t>
      </w:r>
      <w:r w:rsidRPr="00302919">
        <w:t>, and CS</w:t>
      </w:r>
      <w:r w:rsidRPr="00302919">
        <w:rPr>
          <w:vertAlign w:val="subscript"/>
        </w:rPr>
        <w:t>growth</w:t>
      </w:r>
      <w:r w:rsidRPr="00302919">
        <w:t xml:space="preserve">, respectively. Chemicals that produced </w:t>
      </w:r>
      <w:r>
        <w:t>CS</w:t>
      </w:r>
      <w:r w:rsidRPr="00302919">
        <w:t xml:space="preserve"> &gt; 0 in only a single group totaled </w:t>
      </w:r>
      <w:r>
        <w:t>13</w:t>
      </w:r>
      <w:r w:rsidRPr="00302919">
        <w:t>, 1</w:t>
      </w:r>
      <w:r>
        <w:t>17</w:t>
      </w:r>
      <w:r w:rsidRPr="00302919">
        <w:t xml:space="preserve">, </w:t>
      </w:r>
      <w:r>
        <w:t>67</w:t>
      </w:r>
      <w:r w:rsidRPr="00302919">
        <w:t xml:space="preserve">, and </w:t>
      </w:r>
      <w:r>
        <w:t>142</w:t>
      </w:r>
      <w:r w:rsidRPr="00302919">
        <w:t xml:space="preserve"> for CS</w:t>
      </w:r>
      <w:r w:rsidRPr="00302919">
        <w:rPr>
          <w:vertAlign w:val="subscript"/>
        </w:rPr>
        <w:t>binding</w:t>
      </w:r>
      <w:r w:rsidRPr="00302919">
        <w:t>, CS</w:t>
      </w:r>
      <w:r w:rsidRPr="00302919">
        <w:rPr>
          <w:vertAlign w:val="subscript"/>
        </w:rPr>
        <w:t>agonist</w:t>
      </w:r>
      <w:r w:rsidRPr="00302919">
        <w:t>, CS</w:t>
      </w:r>
      <w:r w:rsidRPr="00302919">
        <w:rPr>
          <w:vertAlign w:val="subscript"/>
        </w:rPr>
        <w:t>antagonist</w:t>
      </w:r>
      <w:r w:rsidRPr="00302919">
        <w:t>, and CS</w:t>
      </w:r>
      <w:r w:rsidRPr="00302919">
        <w:rPr>
          <w:vertAlign w:val="subscript"/>
        </w:rPr>
        <w:t>growth</w:t>
      </w:r>
      <w:r w:rsidRPr="00302919">
        <w:t xml:space="preserve">, respectively. </w:t>
      </w:r>
      <w:r>
        <w:t xml:space="preserve">The </w:t>
      </w:r>
      <w:r w:rsidRPr="00302919">
        <w:t>majority (</w:t>
      </w:r>
      <w:r>
        <w:t>74.4</w:t>
      </w:r>
      <w:r w:rsidRPr="00302919">
        <w:t>%) of chemicals do not show activity in any group.</w:t>
      </w:r>
      <w:r>
        <w:t xml:space="preserve">  Hierarchical clustering of chemicals</w:t>
      </w:r>
      <w:r w:rsidRPr="00302919">
        <w:t xml:space="preserve"> with a </w:t>
      </w:r>
      <w:r>
        <w:t>CS</w:t>
      </w:r>
      <w:r w:rsidRPr="00302919">
        <w:t xml:space="preserve"> &gt; 0 </w:t>
      </w:r>
      <w:r>
        <w:t xml:space="preserve">is provided in Figure </w:t>
      </w:r>
      <w:r w:rsidR="00B62F33">
        <w:t>S</w:t>
      </w:r>
      <w:r>
        <w:t>2</w:t>
      </w:r>
      <w:r w:rsidR="00B62F33">
        <w:t xml:space="preserve"> in the SI</w:t>
      </w:r>
      <w:r w:rsidRPr="00302919">
        <w:t xml:space="preserve">. </w:t>
      </w:r>
    </w:p>
    <w:p w:rsidR="00AA3E0C" w:rsidRPr="006D5D9B" w:rsidRDefault="00AA3E0C" w:rsidP="00AA3E0C">
      <w:pPr>
        <w:pStyle w:val="TAMainText"/>
        <w:rPr>
          <w:i/>
        </w:rPr>
      </w:pPr>
      <w:r>
        <w:t>The group-wise CS values were combined into an overall ER Interaction Score where</w:t>
      </w:r>
      <w:r w:rsidRPr="00302919">
        <w:t xml:space="preserve"> a total of 3</w:t>
      </w:r>
      <w:r>
        <w:t>23</w:t>
      </w:r>
      <w:r w:rsidRPr="00302919">
        <w:t xml:space="preserve"> (</w:t>
      </w:r>
      <w:r>
        <w:t>17.8</w:t>
      </w:r>
      <w:r w:rsidRPr="00302919">
        <w:t xml:space="preserve">%) chemicals </w:t>
      </w:r>
      <w:r>
        <w:t>possessed an</w:t>
      </w:r>
      <w:r w:rsidRPr="00302919">
        <w:t xml:space="preserve"> ER Interaction Scores &gt; 0.  The 15 chemicals with the highest ER Interaction </w:t>
      </w:r>
      <w:r>
        <w:t xml:space="preserve">Scores are shown in Table </w:t>
      </w:r>
      <w:r w:rsidRPr="00302919">
        <w:t>2.  These include both known agonist and antagonist chemicals. 17α-estradiol, raloxifene hydrochloride, 4-hydroxytamoxifen,</w:t>
      </w:r>
      <w:r>
        <w:t xml:space="preserve"> and</w:t>
      </w:r>
      <w:r w:rsidRPr="00302919">
        <w:t xml:space="preserve"> 17β-estradiol</w:t>
      </w:r>
      <w:r>
        <w:t xml:space="preserve"> </w:t>
      </w:r>
      <w:r w:rsidRPr="00302919">
        <w:t xml:space="preserve">had ER Interaction Scores &gt; 80. Most of the chemicals in this subset had both high ERα and ERβ </w:t>
      </w:r>
      <w:r>
        <w:t>Potency S</w:t>
      </w:r>
      <w:r w:rsidRPr="00302919">
        <w:t xml:space="preserve">cores indicating strong </w:t>
      </w:r>
      <w:r>
        <w:t>activity for</w:t>
      </w:r>
      <w:r w:rsidRPr="00302919">
        <w:t xml:space="preserve"> both isoforms</w:t>
      </w:r>
      <w:r>
        <w:t xml:space="preserve">; however, </w:t>
      </w:r>
      <w:r w:rsidRPr="00302919">
        <w:t>some chemicals display</w:t>
      </w:r>
      <w:r>
        <w:t>ed</w:t>
      </w:r>
      <w:r w:rsidRPr="00302919">
        <w:t xml:space="preserve"> slight selectivity. </w:t>
      </w:r>
    </w:p>
    <w:p w:rsidR="00AA3E0C" w:rsidRDefault="00AA3E0C" w:rsidP="00AA3E0C">
      <w:pPr>
        <w:pStyle w:val="TAMainText"/>
      </w:pPr>
      <w:r w:rsidRPr="00302919">
        <w:rPr>
          <w:i/>
        </w:rPr>
        <w:t>Agonist and Antagonist Comparisons</w:t>
      </w:r>
      <w:r>
        <w:rPr>
          <w:i/>
        </w:rPr>
        <w:t>.</w:t>
      </w:r>
      <w:r>
        <w:t xml:space="preserve">  A broad spectrum of ER activity spanning from potent agonist to potent antagonist was observed among the chemicals tested (Fig. 4).  </w:t>
      </w:r>
      <w:r w:rsidRPr="00302919">
        <w:t xml:space="preserve">Estrogens 17α-estradiol, 17β-estradiol, 17α-ethinylestradiol, 17α-estradiol, and diethylstilbestrol were among </w:t>
      </w:r>
      <w:r w:rsidRPr="00302919">
        <w:lastRenderedPageBreak/>
        <w:t>the chemicals with the highest CS</w:t>
      </w:r>
      <w:r w:rsidRPr="00302919">
        <w:rPr>
          <w:vertAlign w:val="subscript"/>
        </w:rPr>
        <w:t>agonist</w:t>
      </w:r>
      <w:r>
        <w:t xml:space="preserve"> values.  </w:t>
      </w:r>
      <w:r w:rsidRPr="00302919">
        <w:t xml:space="preserve">Phytoestrogens apigenin, daidzien, and genistein </w:t>
      </w:r>
      <w:r>
        <w:t xml:space="preserve">also showed relatively high </w:t>
      </w:r>
      <w:r w:rsidRPr="00302919">
        <w:t>CS</w:t>
      </w:r>
      <w:r w:rsidRPr="00302919">
        <w:rPr>
          <w:vertAlign w:val="subscript"/>
        </w:rPr>
        <w:t>agonist</w:t>
      </w:r>
      <w:r w:rsidRPr="00302919">
        <w:t xml:space="preserve"> </w:t>
      </w:r>
      <w:r>
        <w:t xml:space="preserve">values </w:t>
      </w:r>
      <w:r w:rsidRPr="00302919">
        <w:t xml:space="preserve">of </w:t>
      </w:r>
      <w:r>
        <w:t>59.91</w:t>
      </w:r>
      <w:r w:rsidRPr="00302919">
        <w:t xml:space="preserve">, </w:t>
      </w:r>
      <w:r>
        <w:t>49.13</w:t>
      </w:r>
      <w:r w:rsidRPr="00302919">
        <w:t xml:space="preserve">, and </w:t>
      </w:r>
      <w:r>
        <w:t>44.33</w:t>
      </w:r>
      <w:r w:rsidRPr="00302919">
        <w:t>, respectively</w:t>
      </w:r>
      <w:r>
        <w:t xml:space="preserve">.  The agonist activity can be further subdivided for ERα and </w:t>
      </w:r>
      <w:r w:rsidRPr="00302919">
        <w:t>ERβ</w:t>
      </w:r>
      <w:r>
        <w:t xml:space="preserve"> selectivity based on the </w:t>
      </w:r>
      <w:r w:rsidRPr="00302919">
        <w:t xml:space="preserve">ERα and ERβ </w:t>
      </w:r>
      <w:r>
        <w:t>Potency S</w:t>
      </w:r>
      <w:r w:rsidRPr="00302919">
        <w:t>cores</w:t>
      </w:r>
      <w:r>
        <w:t>.</w:t>
      </w:r>
    </w:p>
    <w:p w:rsidR="00AA3E0C" w:rsidRDefault="00AA3E0C" w:rsidP="00AA3E0C">
      <w:pPr>
        <w:pStyle w:val="TAMainText"/>
      </w:pPr>
      <w:r>
        <w:t>For antagonist activity, the four highest</w:t>
      </w:r>
      <w:r w:rsidRPr="00460C41">
        <w:t xml:space="preserve"> </w:t>
      </w:r>
      <w:r w:rsidRPr="00302919">
        <w:t>CS</w:t>
      </w:r>
      <w:r w:rsidRPr="00302919">
        <w:rPr>
          <w:vertAlign w:val="subscript"/>
        </w:rPr>
        <w:t>antagonist</w:t>
      </w:r>
      <w:r>
        <w:t xml:space="preserve"> values were associated with pharmaceutical compounds (raloxifene hydrochloride, 4-hydroxytamoxifen, clomiphene citrate, and fulvestrant) (Fig. 4).  The highest</w:t>
      </w:r>
      <w:r w:rsidRPr="00460C41">
        <w:t xml:space="preserve"> </w:t>
      </w:r>
      <w:r w:rsidRPr="00302919">
        <w:t>CS</w:t>
      </w:r>
      <w:r w:rsidRPr="00302919">
        <w:rPr>
          <w:vertAlign w:val="subscript"/>
        </w:rPr>
        <w:t>antagonist</w:t>
      </w:r>
      <w:r>
        <w:t xml:space="preserve"> value among non-pharmaceuticals was for triphenyltin hydroxide at 87.54.</w:t>
      </w:r>
      <w:r w:rsidRPr="001D04A3">
        <w:t xml:space="preserve"> </w:t>
      </w:r>
      <w:r>
        <w:t>Although efforts were made to minimize the impact of cytotoxicity on the CS</w:t>
      </w:r>
      <w:r w:rsidRPr="009E41DC">
        <w:rPr>
          <w:vertAlign w:val="subscript"/>
        </w:rPr>
        <w:t>antagonist</w:t>
      </w:r>
      <w:r>
        <w:t xml:space="preserve"> values, it is likely that many of the chemicals with a weak CS</w:t>
      </w:r>
      <w:r w:rsidRPr="009E41DC">
        <w:rPr>
          <w:vertAlign w:val="subscript"/>
        </w:rPr>
        <w:t>antagonist</w:t>
      </w:r>
      <w:r>
        <w:rPr>
          <w:vertAlign w:val="subscript"/>
        </w:rPr>
        <w:t xml:space="preserve"> </w:t>
      </w:r>
      <w:r>
        <w:t xml:space="preserve">value are causing a loss of signal through cytotoxicity instead of antagonizing ER activation. Methods to better characterize loss-of-signal </w:t>
      </w:r>
      <w:r>
        <w:rPr>
          <w:i/>
        </w:rPr>
        <w:t xml:space="preserve">in vitro </w:t>
      </w:r>
      <w:r>
        <w:t>assays and reduce confounding from cytotoxicity is an on-going area of research.</w:t>
      </w:r>
    </w:p>
    <w:p w:rsidR="00AA3E0C" w:rsidRDefault="00AA3E0C" w:rsidP="00AA3E0C">
      <w:pPr>
        <w:pStyle w:val="TAMainText"/>
      </w:pPr>
      <w:r>
        <w:t>Eleven</w:t>
      </w:r>
      <w:r w:rsidRPr="00302919">
        <w:t xml:space="preserve"> chemicals produced both CS</w:t>
      </w:r>
      <w:r w:rsidRPr="00302919">
        <w:rPr>
          <w:vertAlign w:val="subscript"/>
        </w:rPr>
        <w:t>agonist</w:t>
      </w:r>
      <w:r w:rsidRPr="00302919">
        <w:t xml:space="preserve"> and CS</w:t>
      </w:r>
      <w:r w:rsidRPr="00302919">
        <w:rPr>
          <w:vertAlign w:val="subscript"/>
        </w:rPr>
        <w:t>antagonist</w:t>
      </w:r>
      <w:r w:rsidRPr="00302919">
        <w:t xml:space="preserve"> &gt; 0</w:t>
      </w:r>
      <w:r>
        <w:t xml:space="preserve"> (5HPP-33, 4-dodecylphenol, silwet L77, 25-di-tert-butylbenzene-14-diol, surinabant, hydramethylnon, 5-chlorosalicylanilide, metconazole, nilutamide, chlorophacinone, bicalutamide)</w:t>
      </w:r>
      <w:r w:rsidRPr="00302919">
        <w:t xml:space="preserve">. For this subset, </w:t>
      </w:r>
      <w:r>
        <w:t>5HPP-33 was the only chemical that</w:t>
      </w:r>
      <w:r w:rsidRPr="00302919">
        <w:t xml:space="preserve"> also had significant CS</w:t>
      </w:r>
      <w:r w:rsidRPr="00302919">
        <w:rPr>
          <w:vertAlign w:val="subscript"/>
        </w:rPr>
        <w:t>binding</w:t>
      </w:r>
      <w:r w:rsidRPr="00302919">
        <w:t xml:space="preserve"> and f</w:t>
      </w:r>
      <w:r>
        <w:t>ive</w:t>
      </w:r>
      <w:r w:rsidRPr="00302919">
        <w:t xml:space="preserve"> had significant CS</w:t>
      </w:r>
      <w:r w:rsidRPr="00302919">
        <w:rPr>
          <w:vertAlign w:val="subscript"/>
        </w:rPr>
        <w:t>growth</w:t>
      </w:r>
      <w:r>
        <w:rPr>
          <w:vertAlign w:val="subscript"/>
        </w:rPr>
        <w:t xml:space="preserve"> </w:t>
      </w:r>
      <w:r>
        <w:t>(5HPP-33, 4-dodecylphenol, silwet L77,</w:t>
      </w:r>
      <w:r w:rsidRPr="0035007A">
        <w:t xml:space="preserve"> </w:t>
      </w:r>
      <w:r>
        <w:t>surinabant, hydramethylnon).</w:t>
      </w:r>
      <w:r w:rsidRPr="00302919">
        <w:t xml:space="preserve">  The </w:t>
      </w:r>
      <w:r>
        <w:t>CS</w:t>
      </w:r>
      <w:r w:rsidRPr="00302919">
        <w:t xml:space="preserve"> </w:t>
      </w:r>
      <w:r>
        <w:t xml:space="preserve">values </w:t>
      </w:r>
      <w:r w:rsidRPr="00302919">
        <w:t xml:space="preserve">for this subset of chemicals ranged from </w:t>
      </w:r>
      <w:r>
        <w:t>10.78</w:t>
      </w:r>
      <w:r w:rsidRPr="00302919">
        <w:t xml:space="preserve"> -5</w:t>
      </w:r>
      <w:r>
        <w:t>4</w:t>
      </w:r>
      <w:r w:rsidRPr="00302919">
        <w:t>.7</w:t>
      </w:r>
      <w:r>
        <w:t>4</w:t>
      </w:r>
      <w:r w:rsidRPr="00302919">
        <w:t xml:space="preserve"> and </w:t>
      </w:r>
      <w:r>
        <w:t>12</w:t>
      </w:r>
      <w:r w:rsidRPr="00302919">
        <w:t>.</w:t>
      </w:r>
      <w:r>
        <w:t>71</w:t>
      </w:r>
      <w:r w:rsidRPr="00302919">
        <w:t xml:space="preserve"> – </w:t>
      </w:r>
      <w:r>
        <w:t>55.38</w:t>
      </w:r>
      <w:r w:rsidRPr="00302919">
        <w:t xml:space="preserve"> for CS</w:t>
      </w:r>
      <w:r w:rsidRPr="00302919">
        <w:rPr>
          <w:vertAlign w:val="subscript"/>
        </w:rPr>
        <w:t>agonist</w:t>
      </w:r>
      <w:r w:rsidRPr="00302919">
        <w:t xml:space="preserve"> and CS</w:t>
      </w:r>
      <w:r w:rsidRPr="00302919">
        <w:rPr>
          <w:vertAlign w:val="subscript"/>
        </w:rPr>
        <w:t>antagonist</w:t>
      </w:r>
      <w:r w:rsidRPr="00302919">
        <w:t>, respectively</w:t>
      </w:r>
      <w:r>
        <w:t xml:space="preserve">. </w:t>
      </w:r>
    </w:p>
    <w:p w:rsidR="00AA3E0C" w:rsidRDefault="00AA3E0C" w:rsidP="00AA3E0C">
      <w:pPr>
        <w:pStyle w:val="TAMainText"/>
      </w:pPr>
      <w:r w:rsidRPr="00F117F6">
        <w:rPr>
          <w:i/>
        </w:rPr>
        <w:t xml:space="preserve">ERα and ERβ </w:t>
      </w:r>
      <w:r>
        <w:rPr>
          <w:i/>
        </w:rPr>
        <w:t>Selectivity.</w:t>
      </w:r>
      <w:r>
        <w:t xml:space="preserve"> The agonist activity of the receptor was further investigated for </w:t>
      </w:r>
      <w:r w:rsidRPr="00302919">
        <w:t>ERα</w:t>
      </w:r>
      <w:r>
        <w:t xml:space="preserve"> </w:t>
      </w:r>
      <w:r w:rsidRPr="00302919">
        <w:t>ERβ</w:t>
      </w:r>
      <w:r>
        <w:t xml:space="preserve"> selectivity based on the </w:t>
      </w:r>
      <w:r w:rsidRPr="00302919">
        <w:t xml:space="preserve">ERα and ERβ </w:t>
      </w:r>
      <w:r>
        <w:t>Potency S</w:t>
      </w:r>
      <w:r w:rsidRPr="00302919">
        <w:t>cores</w:t>
      </w:r>
      <w:r>
        <w:t>.</w:t>
      </w:r>
      <w:r w:rsidRPr="004F2D46">
        <w:t xml:space="preserve"> </w:t>
      </w:r>
      <w:r w:rsidRPr="00C859FC">
        <w:t>A total of 12 chemicals demonstrated statistically significantly increased ERα Potency Scores relative to ERβ. However, only 3 of these chemicals had</w:t>
      </w:r>
      <w:r>
        <w:t xml:space="preserve"> overall</w:t>
      </w:r>
      <w:r w:rsidRPr="00C859FC">
        <w:t xml:space="preserve"> CS</w:t>
      </w:r>
      <w:r w:rsidRPr="00C859FC">
        <w:rPr>
          <w:vertAlign w:val="subscript"/>
        </w:rPr>
        <w:t>agonist</w:t>
      </w:r>
      <w:r w:rsidRPr="00C859FC">
        <w:t xml:space="preserve"> &gt; 0 (2</w:t>
      </w:r>
      <w:r>
        <w:t>,</w:t>
      </w:r>
      <w:r w:rsidRPr="00C859FC">
        <w:t>2'</w:t>
      </w:r>
      <w:r>
        <w:t>,</w:t>
      </w:r>
      <w:r w:rsidRPr="00C859FC">
        <w:t>6</w:t>
      </w:r>
      <w:r>
        <w:t>,</w:t>
      </w:r>
      <w:r w:rsidRPr="00C859FC">
        <w:t>6'-tetrachlorobisphenol A, 4-tert-butylphenyl salicylate, 2</w:t>
      </w:r>
      <w:r>
        <w:t>,</w:t>
      </w:r>
      <w:r w:rsidRPr="00C859FC">
        <w:t>2-bis(4-hydroxyphenyl)-1</w:t>
      </w:r>
      <w:r>
        <w:t>,</w:t>
      </w:r>
      <w:r w:rsidRPr="00C859FC">
        <w:t>1</w:t>
      </w:r>
      <w:r>
        <w:t>,</w:t>
      </w:r>
      <w:r w:rsidRPr="00C859FC">
        <w:t xml:space="preserve">1-trichloroethane). </w:t>
      </w:r>
      <w:r>
        <w:t>In contrast, a</w:t>
      </w:r>
      <w:r w:rsidRPr="00C859FC">
        <w:t xml:space="preserve"> total of 64 </w:t>
      </w:r>
      <w:r w:rsidRPr="00C859FC">
        <w:lastRenderedPageBreak/>
        <w:t xml:space="preserve">chemicals demonstrated statistically significantly increased ERβ </w:t>
      </w:r>
      <w:r>
        <w:t xml:space="preserve">Potency Scores relative to ERα.  Of these chemicals, 32 </w:t>
      </w:r>
      <w:r w:rsidRPr="00C859FC">
        <w:t xml:space="preserve">had </w:t>
      </w:r>
      <w:r>
        <w:t xml:space="preserve">overall </w:t>
      </w:r>
      <w:r w:rsidRPr="00C859FC">
        <w:t>CS</w:t>
      </w:r>
      <w:r w:rsidRPr="00C859FC">
        <w:rPr>
          <w:vertAlign w:val="subscript"/>
        </w:rPr>
        <w:t>agonist</w:t>
      </w:r>
      <w:r w:rsidRPr="00C859FC">
        <w:t xml:space="preserve"> &gt; 0. Most of the chemicals that displayed increased ERβ Potency Scores produced relatively low ER Interaction Scores, with only 4 chemicals producing </w:t>
      </w:r>
      <w:r>
        <w:t xml:space="preserve">ER </w:t>
      </w:r>
      <w:r w:rsidRPr="00C859FC">
        <w:t xml:space="preserve">Interaction Scores &gt; 20 (dehydroepiandrosterone, quercetin, fenhexamid, silwet L77). </w:t>
      </w:r>
      <w:r>
        <w:t xml:space="preserve"> </w:t>
      </w:r>
      <w:r w:rsidRPr="00C859FC">
        <w:t>Selective estrogen receptor modulator (SERM) chemicals, raloxifene and tamoxifen, have been identified as being selective for ERα</w:t>
      </w:r>
      <w:r>
        <w:fldChar w:fldCharType="begin"/>
      </w:r>
      <w:r w:rsidR="0077366F">
        <w:instrText xml:space="preserve"> ADDIN ZOTERO_ITEM CSL_CITATION {"citationID":"1ons56t8bp","properties":{"formattedCitation":"{\\rtf \\super 23\\nosupersub{}}","plainCitation":"23"},"citationItems":[{"id":267,"uris":["http://zotero.org/users/1283946/items/VUWVBP5B"],"uri":["http://zotero.org/users/1283946/items/VUWVBP5B"],"itemData":{"id":267,"type":"article-journal","title":"Differential ligand activation of estrogen receptors ERα and ERβ at AP1 sites","container-title":"Science","page":"1508–1510","volume":"277","issue":"5331","source":"Google Scholar","author":[{"family":"Paech","given":"Kolja"},{"family":"Webb","given":"Paul"},{"family":"Kuiper","given":"George GJM"},{"family":"Nilsson","given":"Stefan"},{"family":"Gustafsson","given":"Jan-\\AAke"},{"family":"Kushner","given":"Peter J."},{"family":"Scanlan","given":"Thomas S."}],"issued":{"date-parts":[["1997"]]},"accessed":{"date-parts":[["2013",3,27]]}}}],"schema":"https://github.com/citation-style-language/schema/raw/master/csl-citation.json"} </w:instrText>
      </w:r>
      <w:r>
        <w:fldChar w:fldCharType="separate"/>
      </w:r>
      <w:r w:rsidR="0077366F" w:rsidRPr="0077366F">
        <w:rPr>
          <w:rFonts w:cs="Times"/>
          <w:szCs w:val="24"/>
          <w:vertAlign w:val="superscript"/>
        </w:rPr>
        <w:t>23</w:t>
      </w:r>
      <w:r>
        <w:fldChar w:fldCharType="end"/>
      </w:r>
      <w:r w:rsidRPr="00C859FC">
        <w:t>. Both of these had significantly elevated ERα Potency Scores relative to ERβ in the present model (</w:t>
      </w:r>
      <w:r w:rsidRPr="00C859FC">
        <w:rPr>
          <w:i/>
        </w:rPr>
        <w:t xml:space="preserve">p </w:t>
      </w:r>
      <w:r w:rsidRPr="00C859FC">
        <w:t xml:space="preserve">&lt; </w:t>
      </w:r>
      <w:r>
        <w:t xml:space="preserve">0.01), although they produced a </w:t>
      </w:r>
      <w:r w:rsidRPr="00C859FC">
        <w:t>CS</w:t>
      </w:r>
      <w:r w:rsidRPr="00C859FC">
        <w:rPr>
          <w:vertAlign w:val="subscript"/>
        </w:rPr>
        <w:t>agonist</w:t>
      </w:r>
      <w:r>
        <w:t xml:space="preserve"> score of 0.  The results of the ER</w:t>
      </w:r>
      <w:r>
        <w:sym w:font="Symbol" w:char="F061"/>
      </w:r>
      <w:r>
        <w:t xml:space="preserve"> and ER</w:t>
      </w:r>
      <w:r>
        <w:sym w:font="Symbol" w:char="F062"/>
      </w:r>
      <w:r>
        <w:t xml:space="preserve"> comparison for CS</w:t>
      </w:r>
      <w:r w:rsidRPr="00DD32C5">
        <w:rPr>
          <w:vertAlign w:val="subscript"/>
        </w:rPr>
        <w:t>agonist</w:t>
      </w:r>
      <w:r>
        <w:t xml:space="preserve"> are further described in </w:t>
      </w:r>
      <w:r w:rsidR="00B62F33">
        <w:t>the SI</w:t>
      </w:r>
      <w:r>
        <w:t xml:space="preserve"> and illustrated in </w:t>
      </w:r>
      <w:r w:rsidRPr="00D3118D">
        <w:t xml:space="preserve">Figure </w:t>
      </w:r>
      <w:r w:rsidR="00B62F33">
        <w:t>S</w:t>
      </w:r>
      <w:r w:rsidRPr="00D3118D">
        <w:t>3</w:t>
      </w:r>
      <w:r w:rsidR="00B62F33">
        <w:t xml:space="preserve"> in the SI</w:t>
      </w:r>
      <w:r w:rsidRPr="00D3118D">
        <w:t>.</w:t>
      </w:r>
      <w:r>
        <w:t xml:space="preserve">   </w:t>
      </w:r>
    </w:p>
    <w:p w:rsidR="00AA3E0C" w:rsidRDefault="00AA3E0C" w:rsidP="00AA3E0C">
      <w:pPr>
        <w:pStyle w:val="TAMainText"/>
      </w:pPr>
      <w:r w:rsidRPr="00302919">
        <w:rPr>
          <w:i/>
        </w:rPr>
        <w:t>Comparison to ER Reference Chemicals</w:t>
      </w:r>
      <w:r>
        <w:rPr>
          <w:i/>
        </w:rPr>
        <w:t>.</w:t>
      </w:r>
      <w:r>
        <w:t xml:space="preserve"> The chemical library screened through the </w:t>
      </w:r>
      <w:r>
        <w:rPr>
          <w:i/>
        </w:rPr>
        <w:t xml:space="preserve">in vitro </w:t>
      </w:r>
      <w:r>
        <w:t>assays contained 36 reference compounds that</w:t>
      </w:r>
      <w:r w:rsidRPr="00302919">
        <w:t xml:space="preserve"> were used to assess the perf</w:t>
      </w:r>
      <w:r>
        <w:t>ormance of the model (Figure 5a and 5b</w:t>
      </w:r>
      <w:r w:rsidRPr="00302919">
        <w:t>). Reference chemicals were classified as strong (3</w:t>
      </w:r>
      <w:r>
        <w:t xml:space="preserve"> chemicals</w:t>
      </w:r>
      <w:r w:rsidRPr="00302919">
        <w:t>), strong-moderate (1</w:t>
      </w:r>
      <w:r>
        <w:t xml:space="preserve"> chemical</w:t>
      </w:r>
      <w:r w:rsidRPr="00302919">
        <w:t>), moderate (4</w:t>
      </w:r>
      <w:r>
        <w:t xml:space="preserve"> chemical</w:t>
      </w:r>
      <w:r w:rsidRPr="00302919">
        <w:t>), weak (14</w:t>
      </w:r>
      <w:r>
        <w:t xml:space="preserve"> chemical</w:t>
      </w:r>
      <w:r w:rsidRPr="00302919">
        <w:t>), very weak (3</w:t>
      </w:r>
      <w:r>
        <w:t xml:space="preserve"> chemicals</w:t>
      </w:r>
      <w:r w:rsidRPr="00302919">
        <w:t>), and negative (8</w:t>
      </w:r>
      <w:r>
        <w:t xml:space="preserve"> chemicals</w:t>
      </w:r>
      <w:r w:rsidRPr="00302919">
        <w:t>)</w:t>
      </w:r>
      <w:r>
        <w:fldChar w:fldCharType="begin"/>
      </w:r>
      <w:r w:rsidR="0077366F">
        <w:instrText xml:space="preserve"> ADDIN ZOTERO_ITEM CSL_CITATION {"citationID":"6i2nlf611","properties":{"formattedCitation":"{\\rtf \\super 24\\nosupersub{}}","plainCitation":"24"},"citationItems":[{"id":744,"uris":["http://zotero.org/users/1283946/items/NU5S42HW"],"uri":["http://zotero.org/users/1283946/items/NU5S42HW"],"itemData":{"id":744,"type":"article","title":"ICCVAM Evaluation of In Vitro Test Methods for Detecting Potential Endocrine Disruptors: Estrogen Receptor and Androgen Receptor Binding and Transcriptional Activation Assays","URL":"http://ntp.niehs.nih.gov/?objectid=2BCCBB17-0AE4-6035-AE40845E0CBEBF2E","author":[{"family":"U.S. National Toxicology Program","given":""}],"issued":{"date-parts":[["2003"]]},"accessed":{"date-parts":[["2014",6,16]]}}}],"schema":"https://github.com/citation-style-language/schema/raw/master/csl-citation.json"} </w:instrText>
      </w:r>
      <w:r>
        <w:fldChar w:fldCharType="separate"/>
      </w:r>
      <w:r w:rsidR="0077366F" w:rsidRPr="0077366F">
        <w:rPr>
          <w:rFonts w:cs="Times"/>
          <w:szCs w:val="24"/>
          <w:vertAlign w:val="superscript"/>
        </w:rPr>
        <w:t>24</w:t>
      </w:r>
      <w:r>
        <w:fldChar w:fldCharType="end"/>
      </w:r>
      <w:r w:rsidRPr="00302919">
        <w:t>. One chemical, methoxychlor, was classified as very weak and requires metabolic activation.</w:t>
      </w:r>
      <w:r>
        <w:t xml:space="preserve"> An additional three chemicals (raloxifene hydrochloride, clomiphene citrate, and fulvestrant)</w:t>
      </w:r>
      <w:r w:rsidRPr="00302919">
        <w:t xml:space="preserve"> </w:t>
      </w:r>
      <w:r>
        <w:t>were included as antagonists.</w:t>
      </w:r>
      <w:r w:rsidRPr="00302919">
        <w:t xml:space="preserve"> </w:t>
      </w:r>
      <w:r>
        <w:t>Of the 28 chemicals classified as positive from strong to very weak, all 28 possessed ER Interaction Scores &gt; 0.  Of the eight chemicals classified as negative, seven had ER Interaction Scores of zero.</w:t>
      </w:r>
      <w:r w:rsidRPr="00302919">
        <w:t xml:space="preserve"> </w:t>
      </w:r>
      <w:r>
        <w:t xml:space="preserve"> Progesterone was the only negatively classified chemical that</w:t>
      </w:r>
      <w:r w:rsidRPr="00302919">
        <w:t xml:space="preserve"> produced</w:t>
      </w:r>
      <w:r>
        <w:t xml:space="preserve"> an</w:t>
      </w:r>
      <w:r w:rsidRPr="00302919">
        <w:t xml:space="preserve"> ER I</w:t>
      </w:r>
      <w:r>
        <w:t>nteraction Score &gt; 0.  The ER Interaction Score for progesterone was 8.09, which was one of the lowest of all the chemicals with ER Interaction Scores &gt; 0 (Figure 5a).</w:t>
      </w:r>
      <w:r w:rsidRPr="00F63AE1">
        <w:t xml:space="preserve"> </w:t>
      </w:r>
      <w:r>
        <w:t>Using an ER Interaction Score &gt; 0 as the cut-off, the overall classification accuracy was 97% (35/36) with a sensitivity and specificity of 100% and 87.5%, respectively.</w:t>
      </w:r>
    </w:p>
    <w:p w:rsidR="00AA3E0C" w:rsidRDefault="00AA3E0C" w:rsidP="00AA3E0C">
      <w:pPr>
        <w:pStyle w:val="TAMainText"/>
      </w:pPr>
      <w:r>
        <w:lastRenderedPageBreak/>
        <w:t>T</w:t>
      </w:r>
      <w:r w:rsidRPr="00302919">
        <w:t xml:space="preserve">o evaluate the </w:t>
      </w:r>
      <w:r>
        <w:t xml:space="preserve">relationship </w:t>
      </w:r>
      <w:r w:rsidRPr="00302919">
        <w:t xml:space="preserve">of the </w:t>
      </w:r>
      <w:r>
        <w:t xml:space="preserve">ER Interaction Scores </w:t>
      </w:r>
      <w:r w:rsidRPr="00302919">
        <w:t>relative to</w:t>
      </w:r>
      <w:r>
        <w:t xml:space="preserve"> the potency class</w:t>
      </w:r>
      <w:r w:rsidRPr="00302919">
        <w:t>, the distributions of ER Interaction Scores were compared for each reference</w:t>
      </w:r>
      <w:r>
        <w:t xml:space="preserve"> group (Figure 5b</w:t>
      </w:r>
      <w:r w:rsidRPr="00302919">
        <w:t xml:space="preserve">).  </w:t>
      </w:r>
      <w:r>
        <w:t>Overall,</w:t>
      </w:r>
      <w:r w:rsidRPr="00302919">
        <w:t xml:space="preserve"> </w:t>
      </w:r>
      <w:r>
        <w:t xml:space="preserve">a </w:t>
      </w:r>
      <w:r w:rsidRPr="00302919">
        <w:t xml:space="preserve">Kruskal-Wallis test </w:t>
      </w:r>
      <w:r>
        <w:t>yielded</w:t>
      </w:r>
      <w:r w:rsidRPr="00302919">
        <w:t xml:space="preserve"> a strong association between the reference chemical classifications and the ER Interaction Scores (</w:t>
      </w:r>
      <w:r w:rsidRPr="00302919">
        <w:rPr>
          <w:i/>
        </w:rPr>
        <w:t xml:space="preserve">p </w:t>
      </w:r>
      <w:r w:rsidRPr="00302919">
        <w:t>&lt; .00</w:t>
      </w:r>
      <w:r>
        <w:t>0</w:t>
      </w:r>
      <w:r w:rsidRPr="00302919">
        <w:t>1).</w:t>
      </w:r>
      <w:r>
        <w:t xml:space="preserve">  Among pair-wise contrasts, t</w:t>
      </w:r>
      <w:r w:rsidRPr="00302919">
        <w:t>he negative group was statistically significantly different all other groups (</w:t>
      </w:r>
      <w:r w:rsidRPr="00302919">
        <w:rPr>
          <w:i/>
        </w:rPr>
        <w:t xml:space="preserve">p </w:t>
      </w:r>
      <w:r w:rsidRPr="00302919">
        <w:t>&lt; 0.1)</w:t>
      </w:r>
      <w:r>
        <w:t xml:space="preserve"> and there was a </w:t>
      </w:r>
      <w:r w:rsidRPr="00302919">
        <w:t>significant difference between the weak group and the moderate</w:t>
      </w:r>
      <w:r>
        <w:t xml:space="preserve"> </w:t>
      </w:r>
      <w:r w:rsidRPr="00302919">
        <w:t>and strong groups (</w:t>
      </w:r>
      <w:r w:rsidRPr="00302919">
        <w:rPr>
          <w:i/>
        </w:rPr>
        <w:t xml:space="preserve">p &lt; </w:t>
      </w:r>
      <w:r w:rsidRPr="00302919">
        <w:t xml:space="preserve">0.1). </w:t>
      </w:r>
    </w:p>
    <w:p w:rsidR="00AA3E0C" w:rsidRDefault="00AA3E0C" w:rsidP="00AA3E0C">
      <w:pPr>
        <w:pStyle w:val="TAMainText"/>
      </w:pPr>
      <w:r w:rsidRPr="00302919">
        <w:rPr>
          <w:i/>
        </w:rPr>
        <w:t>Comparison to In Vivo Uterotrophic Assay</w:t>
      </w:r>
      <w:r>
        <w:rPr>
          <w:i/>
        </w:rPr>
        <w:t>.</w:t>
      </w:r>
      <w:r>
        <w:t xml:space="preserve">  </w:t>
      </w:r>
      <w:r w:rsidRPr="006F5144">
        <w:t>Uterotrophic assays are designed to measure estrogenic activity through increased uterine weight in immature or ovariectomized rats</w:t>
      </w:r>
      <w:r w:rsidRPr="006F5144">
        <w:fldChar w:fldCharType="begin"/>
      </w:r>
      <w:r w:rsidR="0077366F">
        <w:instrText xml:space="preserve"> ADDIN ZOTERO_ITEM CSL_CITATION {"citationID":"pf4cpcq2c","properties":{"formattedCitation":"{\\rtf \\super 25\\nosupersub{}}","plainCitation":"25"},"citationItems":[{"id":238,"uris":["http://zotero.org/users/1283946/items/T9XRINTX"],"uri":["http://zotero.org/users/1283946/items/T9XRINTX"],"itemData":{"id":238,"type":"article-journal","title":"The rodent uterotrophic assay: critical protocol features, studies with nonyl phenols, and comparison with a yeast estrogenicity assay","container-title":"Regulatory toxicology and pharmacology: RTP","page":"176-188","volume":"25","issue":"2","source":"NCBI PubMed","abstract":"The major protocol features of the immature rat uterotrophic assay have been evaluated using a range of reference chemicals. The protocol variables considered include the selection of the test species and route of chemical administration, the age of the test animals, the maintenance diet used, and the specificity of the assay for estrogens. It is concluded that three daily oral administrations of test chemicals to 21- to 22-day-old rats, followed by determination of absolute uterus weights on the fourth day, provide a sensitive and toxicologically relevant in vivo estrogenicity assay. Rats are favored over mice for reasons of toxicological practice, but the choice of test species is probably not a critical protocol variable, as evidenced by the similar sensitivity of rats and mice to the uterotrophic activity of methoxychlor. Vaginal opening is shown to be a useful, but nondefinitive, adjunct to the uterotrophic assay. The ability of test chemicals to reduce or abolish the uterotrophic response of estradiol is suggested to provide a useful extension of the uterotrophic assay for the purpose of detecting antiestrogens. The results of a series of studies on the environmental estrogen nonyl phenol (NP), and its linear isomer n-nonyl phenol, confirm that branching of the aliphatic side chain is important for activity. 17beta-Desoxyestradiol is shown to be of similar activity to estradiol in the uterotrophic assay and is suggested to represent the \"parent\" estrogen of NP. Benzoylation of NP and 17-desoxyestradiol did not affect their uterotrophic activity, in contrast to the enhancing effect of benzoylation on estradiol. Selected chemicals shown to be active in the immature rat uterotrophic assay were also evaluated in an in vitro yeast human estrogen receptor transactivation assay. Most of the chemicals gave similar qualitative responses to those seen in the uterotrophic assay, and the detection of the estrogen methoxychlor by the yeast assay evidenced a degree of intrinsic metabolic competence. However, the assay had a reduced ability (compared to rodents) to hydrolyze the benzoate ester of estradiol, and the estrogenic benzoate derivative of NP was not active in the yeast assay. These last results indicate that current metabolic deficiencies of in vitro estrogenicity assays will limit the value of negative data for the immediate future. The results described illustrate the intrinsic complexity of evaluating chemicals for estrogenic activities and confirm the need for rigorous attention to experimental design and criteria for assessing estrogenic activity.","DOI":"10.1006/rtph.1997.1100","ISSN":"0273-2300","note":"PMID: 9185893","shortTitle":"The rodent uterotrophic assay","journalAbbreviation":"Regul. Toxicol. Pharmacol.","author":[{"family":"Odum","given":"J"},{"family":"Lefevre","given":"P A"},{"family":"Tittensor","given":"S"},{"family":"Paton","given":"D"},{"family":"Routledge","given":"E J"},{"family":"Beresford","given":"N A"},{"family":"Sumpter","given":"J P"},{"family":"Ashby","given":"J"}],"issued":{"date-parts":[["1997",4]]},"PMID":"9185893"}}],"schema":"https://github.com/citation-style-language/schema/raw/master/csl-citation.json"} </w:instrText>
      </w:r>
      <w:r w:rsidRPr="006F5144">
        <w:fldChar w:fldCharType="separate"/>
      </w:r>
      <w:r w:rsidR="0077366F" w:rsidRPr="0077366F">
        <w:rPr>
          <w:rFonts w:cs="Times"/>
          <w:szCs w:val="24"/>
          <w:vertAlign w:val="superscript"/>
        </w:rPr>
        <w:t>25</w:t>
      </w:r>
      <w:r w:rsidRPr="006F5144">
        <w:fldChar w:fldCharType="end"/>
      </w:r>
      <w:r w:rsidRPr="006F5144">
        <w:t xml:space="preserve">. </w:t>
      </w:r>
      <w:r>
        <w:t xml:space="preserve">Data from </w:t>
      </w:r>
      <w:r>
        <w:rPr>
          <w:i/>
        </w:rPr>
        <w:t xml:space="preserve">in vivo </w:t>
      </w:r>
      <w:r>
        <w:t>uterotrophic studies were available for a</w:t>
      </w:r>
      <w:r w:rsidRPr="006F5144">
        <w:t xml:space="preserve"> total of 45 </w:t>
      </w:r>
      <w:r>
        <w:t>chemicals with 23 negatives and 22 actives (12 agonists, 2 antagonists, 8 with both agonist and antagonist activity)</w:t>
      </w:r>
      <w:r w:rsidRPr="006F5144">
        <w:t>.</w:t>
      </w:r>
      <w:r>
        <w:t xml:space="preserve"> </w:t>
      </w:r>
      <w:r w:rsidRPr="006F5144">
        <w:t>Within this 45 chemical subset, 17</w:t>
      </w:r>
      <w:r>
        <w:t xml:space="preserve"> chemicals</w:t>
      </w:r>
      <w:r w:rsidRPr="006F5144">
        <w:t xml:space="preserve"> produced ER Interaction Scores of 0, </w:t>
      </w:r>
      <w:r>
        <w:t>with 2 false negatives</w:t>
      </w:r>
      <w:r w:rsidRPr="006F5144">
        <w:t xml:space="preserve"> (atrazine and disulfiram)</w:t>
      </w:r>
      <w:r>
        <w:t>. In this sense, false negative refers to a chemical with an ER Interaction Score of 0 and classified as having uterotrophic activity.  The two false negatives, atrazine and disulfiram, were both</w:t>
      </w:r>
      <w:r w:rsidRPr="006F5144">
        <w:t xml:space="preserve"> classified as antagonist</w:t>
      </w:r>
      <w:r>
        <w:t>s</w:t>
      </w:r>
      <w:r w:rsidRPr="006F5144">
        <w:t xml:space="preserve"> in the uterotrophic </w:t>
      </w:r>
      <w:r>
        <w:t>assay</w:t>
      </w:r>
      <w:r w:rsidRPr="006F5144">
        <w:t xml:space="preserve">. </w:t>
      </w:r>
      <w:r>
        <w:t xml:space="preserve">A total of </w:t>
      </w:r>
      <w:r w:rsidRPr="006F5144">
        <w:t>8</w:t>
      </w:r>
      <w:r>
        <w:t xml:space="preserve"> of the 28</w:t>
      </w:r>
      <w:r w:rsidRPr="006F5144">
        <w:t xml:space="preserve"> compounds with ER Interaction Scores &gt; 0 were </w:t>
      </w:r>
      <w:r>
        <w:t xml:space="preserve">false positives based the </w:t>
      </w:r>
      <w:r w:rsidRPr="006F5144">
        <w:t xml:space="preserve">uterotrophic </w:t>
      </w:r>
      <w:r>
        <w:t>results. In this sense a false positive refers to a chemical with an ER Interaction Score &gt; 0 and is classified as having no uterotrophic activity in the present analysis.</w:t>
      </w:r>
      <w:r w:rsidRPr="006F5144">
        <w:t xml:space="preserve"> </w:t>
      </w:r>
      <w:r>
        <w:t>H</w:t>
      </w:r>
      <w:r w:rsidRPr="006F5144">
        <w:t xml:space="preserve">owever, besides ethylparaben, the remaining 7 of these </w:t>
      </w:r>
      <w:r>
        <w:t xml:space="preserve">false positive </w:t>
      </w:r>
      <w:r w:rsidRPr="006F5144">
        <w:t>chemicals</w:t>
      </w:r>
      <w:r>
        <w:t xml:space="preserve"> (4-nonylphenol, dipentyl phthalate, flutamide, 2-naphthalenol, captafol, dibutyl phthalate, dihexyl phthalate)</w:t>
      </w:r>
      <w:r w:rsidRPr="006F5144">
        <w:t xml:space="preserve"> fall within the lowest 9 ER Interaction Scores &gt; 0 (Figure </w:t>
      </w:r>
      <w:r w:rsidR="00EA5F0D">
        <w:t>S</w:t>
      </w:r>
      <w:r>
        <w:t>4</w:t>
      </w:r>
      <w:r w:rsidR="00EA5F0D">
        <w:t xml:space="preserve"> in the SI</w:t>
      </w:r>
      <w:r w:rsidRPr="006F5144">
        <w:t xml:space="preserve">). </w:t>
      </w:r>
      <w:r>
        <w:t>Twenty o</w:t>
      </w:r>
      <w:r w:rsidRPr="006F5144">
        <w:t>ut of the 2</w:t>
      </w:r>
      <w:r>
        <w:t>8</w:t>
      </w:r>
      <w:r w:rsidRPr="006F5144">
        <w:t xml:space="preserve"> chemicals with ER Interaction Scores &gt; 0</w:t>
      </w:r>
      <w:r>
        <w:t xml:space="preserve"> were classified as true positives resulting in an overall sensitivity and specificity of 91% and 65%</w:t>
      </w:r>
      <w:r w:rsidRPr="006F5144">
        <w:t>,</w:t>
      </w:r>
      <w:r>
        <w:t xml:space="preserve"> respectively.</w:t>
      </w:r>
      <w:r w:rsidRPr="006F5144">
        <w:t xml:space="preserve"> </w:t>
      </w:r>
    </w:p>
    <w:p w:rsidR="00AA3E0C" w:rsidRPr="00AA3E0C" w:rsidRDefault="00AA3E0C" w:rsidP="00AA3E0C">
      <w:pPr>
        <w:pStyle w:val="TAMainText"/>
        <w:rPr>
          <w:b/>
        </w:rPr>
      </w:pPr>
      <w:bookmarkStart w:id="2" w:name="_Toc352762150"/>
      <w:r w:rsidRPr="00AA3E0C">
        <w:rPr>
          <w:b/>
        </w:rPr>
        <w:t>Discussion</w:t>
      </w:r>
      <w:bookmarkEnd w:id="2"/>
    </w:p>
    <w:p w:rsidR="00AA3E0C" w:rsidRPr="00505C54" w:rsidRDefault="00AA3E0C" w:rsidP="00AA3E0C">
      <w:pPr>
        <w:pStyle w:val="TAMainText"/>
      </w:pPr>
      <w:r w:rsidRPr="00302919">
        <w:lastRenderedPageBreak/>
        <w:t xml:space="preserve">The present study describes a novel approach for incorporating </w:t>
      </w:r>
      <w:r>
        <w:t xml:space="preserve">data from </w:t>
      </w:r>
      <w:r w:rsidRPr="00302919">
        <w:t xml:space="preserve">multiple </w:t>
      </w:r>
      <w:r w:rsidRPr="00302919">
        <w:rPr>
          <w:i/>
        </w:rPr>
        <w:t xml:space="preserve">in vitro </w:t>
      </w:r>
      <w:r w:rsidRPr="00302919">
        <w:t>assays into a</w:t>
      </w:r>
      <w:r>
        <w:t>n</w:t>
      </w:r>
      <w:r w:rsidRPr="00302919">
        <w:t xml:space="preserve"> </w:t>
      </w:r>
      <w:r>
        <w:t>integrated quantitative score that reflects a chemical’s perturbation of</w:t>
      </w:r>
      <w:r w:rsidRPr="00302919">
        <w:t xml:space="preserve"> a</w:t>
      </w:r>
      <w:r>
        <w:t xml:space="preserve"> specific</w:t>
      </w:r>
      <w:r w:rsidRPr="00302919">
        <w:t xml:space="preserve"> signaling pathway. </w:t>
      </w:r>
      <w:r>
        <w:t xml:space="preserve">An integrated approach was necessary because each of the individual </w:t>
      </w:r>
      <w:r w:rsidRPr="00AC72C1">
        <w:rPr>
          <w:i/>
        </w:rPr>
        <w:t xml:space="preserve">in vitro </w:t>
      </w:r>
      <w:r>
        <w:t xml:space="preserve">screening assays have specific limitations or measure only pieces of the larger pathway. Of particular concern is a potentially high false negative rate associated with relying on a single </w:t>
      </w:r>
      <w:r>
        <w:rPr>
          <w:i/>
        </w:rPr>
        <w:t>in vitro</w:t>
      </w:r>
      <w:r>
        <w:t xml:space="preserve"> assay since classifying an active chemical as non-active could result in contained use of chemicals that could cause adverse outcomes (i.e.</w:t>
      </w:r>
      <w:r w:rsidR="00A56EA3">
        <w:t xml:space="preserve"> </w:t>
      </w:r>
      <w:r>
        <w:t xml:space="preserve">be true endocrine disruptors). This would outweigh the added cost of subsequent testing for the false positive chemicals (in vitro positive, in vivo negative).  </w:t>
      </w:r>
      <w:r w:rsidRPr="00302919">
        <w:t xml:space="preserve">The ER pathway is an ideal candidate for </w:t>
      </w:r>
      <w:r>
        <w:t>developing</w:t>
      </w:r>
      <w:r w:rsidRPr="00302919">
        <w:t xml:space="preserve"> </w:t>
      </w:r>
      <w:r>
        <w:t xml:space="preserve">an integrated assay </w:t>
      </w:r>
      <w:r w:rsidRPr="00302919">
        <w:t xml:space="preserve">approach because </w:t>
      </w:r>
      <w:r>
        <w:t xml:space="preserve">data are available from </w:t>
      </w:r>
      <w:r w:rsidRPr="00302919">
        <w:t xml:space="preserve">multiple </w:t>
      </w:r>
      <w:r w:rsidRPr="00302919">
        <w:rPr>
          <w:i/>
        </w:rPr>
        <w:t xml:space="preserve">in vitro </w:t>
      </w:r>
      <w:r w:rsidRPr="00302919">
        <w:t>assays</w:t>
      </w:r>
      <w:r>
        <w:t xml:space="preserve"> that assess</w:t>
      </w:r>
      <w:r w:rsidRPr="00302919">
        <w:t xml:space="preserve"> different </w:t>
      </w:r>
      <w:r>
        <w:t>aspects</w:t>
      </w:r>
      <w:r w:rsidRPr="00302919">
        <w:t xml:space="preserve"> </w:t>
      </w:r>
      <w:r>
        <w:t xml:space="preserve">of </w:t>
      </w:r>
      <w:r w:rsidRPr="00302919">
        <w:t>th</w:t>
      </w:r>
      <w:r>
        <w:t>e pathway across a large number</w:t>
      </w:r>
      <w:r w:rsidRPr="00302919">
        <w:t xml:space="preserve"> of chemicals. Furthermore, a relatively well</w:t>
      </w:r>
      <w:r>
        <w:t>-</w:t>
      </w:r>
      <w:r w:rsidRPr="00302919">
        <w:t xml:space="preserve">established list of reference chemicals and </w:t>
      </w:r>
      <w:r w:rsidRPr="00302919">
        <w:rPr>
          <w:i/>
        </w:rPr>
        <w:t xml:space="preserve">in vivo </w:t>
      </w:r>
      <w:r w:rsidRPr="00302919">
        <w:t>data are available to validate model predictions.</w:t>
      </w:r>
      <w:r w:rsidRPr="00723FCA">
        <w:t xml:space="preserve"> </w:t>
      </w:r>
      <w:r>
        <w:t xml:space="preserve">We previously explored whether endocrine-related </w:t>
      </w:r>
      <w:r>
        <w:rPr>
          <w:i/>
        </w:rPr>
        <w:t xml:space="preserve">in vitro </w:t>
      </w:r>
      <w:r>
        <w:t>assays were capable of classifying chemicals similarly to EDSP Tier 1 assays for androgen, estrogen, thyroid and steroidogenesis modes of action (MOA)</w:t>
      </w:r>
      <w:r>
        <w:fldChar w:fldCharType="begin"/>
      </w:r>
      <w:r w:rsidR="0077366F">
        <w:instrText xml:space="preserve"> ADDIN ZOTERO_ITEM CSL_CITATION {"citationID":"2d7l63h22m","properties":{"formattedCitation":"{\\rtf \\super 22\\nosupersub{}}","plainCitation":"22"},"citationItems":[{"id":81,"uris":["http://zotero.org/users/1283946/items/9QSF4KCA"],"uri":["http://zotero.org/users/1283946/items/9QSF4KCA"],"itemData":{"id":81,"type":"article-journal","title":"Using in Vitro High Throughput Screening Assays to Identify Potential Endocrine-Disrupting Chemicals","container-title":"Environmental Health Perspectives","page":"7","volume":"121","issue":"1","source":"Google Scholar","author":[{"family":"Rotroff","given":"D. M."},{"family":"Dix","given":"D. J."},{"family":"Houck","given":"K. A."},{"family":"Knudsen","given":"T. B."},{"family":"Martin","given":"M. T."},{"family":"McLaurin","given":"K. W."},{"family":"Reif","given":"D. M."},{"family":"Crofton","given":"K. M."},{"family":"Singh","given":"A. V."},{"family":"Xia","given":"M."}],"issued":{"date-parts":[["2013"]]},"accessed":{"date-parts":[["2013",2,3]]}}}],"schema":"https://github.com/citation-style-language/schema/raw/master/csl-citation.json"} </w:instrText>
      </w:r>
      <w:r>
        <w:fldChar w:fldCharType="separate"/>
      </w:r>
      <w:r w:rsidR="0077366F" w:rsidRPr="0077366F">
        <w:rPr>
          <w:rFonts w:cs="Times"/>
          <w:szCs w:val="24"/>
          <w:vertAlign w:val="superscript"/>
        </w:rPr>
        <w:t>22</w:t>
      </w:r>
      <w:r>
        <w:fldChar w:fldCharType="end"/>
      </w:r>
      <w:r>
        <w:t xml:space="preserve">. The purpose of the classification analysis in Rotroff et al. 2013 was to compare and identify MOA for which a predictive model would be mostly likely to succeed. The estrogenic MOA was identified as having a high classification rate, and the model described here aims to build upon the findings in Rotroff et al. 2013 to create a predictive and quantitative model for the purposes of chemical prioritization. In addition, the classification model developed in Rotroff et al. 2013 suggests that estrogenic chemicals are classified more accurately when using more than a single </w:t>
      </w:r>
      <w:r>
        <w:rPr>
          <w:i/>
        </w:rPr>
        <w:t xml:space="preserve">in vitro </w:t>
      </w:r>
      <w:r>
        <w:t xml:space="preserve">assay, suggesting a more ‘weight-of-evidence’ or consensus approach using multiple </w:t>
      </w:r>
      <w:r>
        <w:rPr>
          <w:i/>
        </w:rPr>
        <w:t xml:space="preserve">in vitro </w:t>
      </w:r>
      <w:r>
        <w:t>assays would be most likely to succeed</w:t>
      </w:r>
      <w:r>
        <w:fldChar w:fldCharType="begin"/>
      </w:r>
      <w:r w:rsidR="0077366F">
        <w:instrText xml:space="preserve"> ADDIN ZOTERO_ITEM CSL_CITATION {"citationID":"1h38snv4le","properties":{"formattedCitation":"{\\rtf \\super 22\\nosupersub{}}","plainCitation":"22"},"citationItems":[{"id":81,"uris":["http://zotero.org/users/1283946/items/9QSF4KCA"],"uri":["http://zotero.org/users/1283946/items/9QSF4KCA"],"itemData":{"id":81,"type":"article-journal","title":"Using in Vitro High Throughput Screening Assays to Identify Potential Endocrine-Disrupting Chemicals","container-title":"Environmental Health Perspectives","page":"7","volume":"121","issue":"1","source":"Google Scholar","author":[{"family":"Rotroff","given":"D. M."},{"family":"Dix","given":"D. J."},{"family":"Houck","given":"K. A."},{"family":"Knudsen","given":"T. B."},{"family":"Martin","given":"M. T."},{"family":"McLaurin","given":"K. W."},{"family":"Reif","given":"D. M."},{"family":"Crofton","given":"K. M."},{"family":"Singh","given":"A. V."},{"family":"Xia","given":"M."}],"issued":{"date-parts":[["2013"]]},"accessed":{"date-parts":[["2013",2,3]]}}}],"schema":"https://github.com/citation-style-language/schema/raw/master/csl-citation.json"} </w:instrText>
      </w:r>
      <w:r>
        <w:fldChar w:fldCharType="separate"/>
      </w:r>
      <w:r w:rsidR="0077366F" w:rsidRPr="0077366F">
        <w:rPr>
          <w:rFonts w:cs="Times"/>
          <w:szCs w:val="24"/>
          <w:vertAlign w:val="superscript"/>
        </w:rPr>
        <w:t>22</w:t>
      </w:r>
      <w:r>
        <w:fldChar w:fldCharType="end"/>
      </w:r>
      <w:r>
        <w:t xml:space="preserve">.   </w:t>
      </w:r>
    </w:p>
    <w:p w:rsidR="00AA3E0C" w:rsidRDefault="00AA3E0C" w:rsidP="00AA3E0C">
      <w:pPr>
        <w:pStyle w:val="TAMainText"/>
      </w:pPr>
      <w:r>
        <w:lastRenderedPageBreak/>
        <w:t xml:space="preserve">The </w:t>
      </w:r>
      <w:r>
        <w:rPr>
          <w:i/>
        </w:rPr>
        <w:t>in vitro</w:t>
      </w:r>
      <w:r>
        <w:t xml:space="preserve"> assay grouping used to derive the ER Interaction Score was</w:t>
      </w:r>
      <w:r w:rsidRPr="00302919">
        <w:t xml:space="preserve"> based on the</w:t>
      </w:r>
      <w:r>
        <w:t>ir functional endpoint relative to the signaling pathway</w:t>
      </w:r>
      <w:r w:rsidRPr="00302919">
        <w:t xml:space="preserve">.  </w:t>
      </w:r>
      <w:r>
        <w:t xml:space="preserve">It is difficult to determine which individual assays are essential for developing an accurate ER Interaction Score. However, it is clear that each assay has its own set of uniquely active chemicals, and the overall ER Interaction Score is not significantly driven by any single assay (See </w:t>
      </w:r>
      <w:r w:rsidR="00EA5F0D">
        <w:t>SI</w:t>
      </w:r>
      <w:r>
        <w:t xml:space="preserve">). </w:t>
      </w:r>
      <w:r w:rsidRPr="00302919">
        <w:t xml:space="preserve">Separating assays into </w:t>
      </w:r>
      <w:r>
        <w:t>functional</w:t>
      </w:r>
      <w:r w:rsidRPr="00302919">
        <w:t xml:space="preserve"> groups </w:t>
      </w:r>
      <w:r>
        <w:t xml:space="preserve">(binding, agonist, antagonist, and growth) </w:t>
      </w:r>
      <w:r w:rsidRPr="00302919">
        <w:t xml:space="preserve">provides the advantage of enhancing the </w:t>
      </w:r>
      <w:r>
        <w:t xml:space="preserve">strengths of the </w:t>
      </w:r>
      <w:r w:rsidRPr="00302919">
        <w:t xml:space="preserve">individual assays </w:t>
      </w:r>
      <w:r>
        <w:t>while</w:t>
      </w:r>
      <w:r w:rsidRPr="00302919">
        <w:t xml:space="preserve"> down-weighting the impact of their weaknesses.</w:t>
      </w:r>
      <w:r>
        <w:t xml:space="preserve"> This is because groups can be incorporated into the model in a way that maximizes predictive capabilities.</w:t>
      </w:r>
      <w:r w:rsidRPr="00302919">
        <w:t xml:space="preserve"> For example, the </w:t>
      </w:r>
      <w:r>
        <w:t>ER-dependent cell proliferation</w:t>
      </w:r>
      <w:r w:rsidRPr="00302919">
        <w:t xml:space="preserve"> assay detects </w:t>
      </w:r>
      <w:r>
        <w:t xml:space="preserve">growth-promoting activity from multiple pathways including responses to non-estrogenic steroid hormones </w:t>
      </w:r>
      <w:r>
        <w:fldChar w:fldCharType="begin"/>
      </w:r>
      <w:r w:rsidR="0077366F">
        <w:instrText xml:space="preserve"> ADDIN ZOTERO_ITEM CSL_CITATION {"citationID":"829uc9nf4","properties":{"formattedCitation":"{\\rtf \\super 17\\nosupersub{}}","plainCitation":"17"},"citationItems":[{"id":677,"uris":["http://zotero.org/users/1283946/items/HG8XG75E"],"uri":["http://zotero.org/users/1283946/items/HG8XG75E"],"itemData":{"id":677,"type":"article-journal","title":"Real-Time Growth Kinetics Measuring Hormone Mimicry for ToxCast Chemicals in T-47D Human Ductal Carcinoma Cells","container-title":"Chemical Research in Toxicology","page":"1097-1107","volume":"26","issue":"7","source":"ACS Publications","abstract":"High-throughput screening (HTS) assays capable of profiling thousands of environmentally relevant chemicals for in vitro biological activity provide useful information on the potential for disrupting endocrine pathways. Disruption of the estrogen signaling pathway has been implicated in a variety of adverse health effects including impaired development, reproduction, and carcinogenesis. The estrogen-responsive human mammary ductal carcinoma cell line T-47D was exposed to 1815 ToxCast chemicals comprising pesticides, industrial chemicals, pharmaceuticals, personal care products, cosmetics, food ingredients, and other chemicals with known or suspected human exposure potential. Cell growth kinetics were evaluated using real-time cell electronic sensing. T-47D cells were exposed to eight concentrations (0.006?100 ?M), and measurements of cellular impedance were repeatedly recorded for 105 h. Chemical effects were evaluated based on potency (concentration at which response occurs) and efficacy (extent of response). A linear growth response was observed in response to prototypical estrogen receptor agonists (17?-estradiol, genistein, bisphenol A, nonylphenol, and 4-tert-octylphenol). Several compounds, including bisphenol A and genistein, induced cell growth comparable in efficacy to that of 17?-estradiol, but with decreased potency. Progestins, androgens, and corticosteroids invoked a biphasic growth response indicative of changes in cell number or cell morphology. Results from this cell growth assay were compared with results from additional estrogen receptor (ER) binding and transactivation assays. Chemicals detected as active in both the cell growth and ER receptor binding assays demonstrated potencies highly correlated with two ER transactivation assays (r = 0.72; r = 0.70). While ER binding assays detected chemicals that were highly potent or efficacious in the T-47D cell growth and transactivation assays, the binding assays lacked sensitivity in detecting weakly active compounds. In conclusion, this cell-based assay rapidly detects chemical effects on T-47D growth and shows potential, in combination with other HTS assays, to detect environmentally relevant chemicals with potential estrogenic activity.","DOI":"10.1021/tx400117y","ISSN":"0893-228X","journalAbbreviation":"Chem. Res. Toxicol.","author":[{"family":"Rotroff","given":"Daniel M."},{"family":"Dix","given":"David J."},{"family":"Houck","given":"Keith A."},{"family":"Kavlock","given":"Robert J."},{"family":"Knudsen","given":"Thomas B."},{"family":"Martin","given":"Matthew T."},{"family":"Reif","given":"David M."},{"family":"Richard","given":"Ann M."},{"family":"Sipes","given":"Nisha S."},{"family":"Abassi","given":"Yama A."},{"family":"Jin","given":"Can"},{"family":"Stampfl","given":"Melinda"},{"family":"Judson","given":"Richard S."}],"issued":{"date-parts":[["2013",7,15]]},"accessed":{"date-parts":[["2013",11,6]]}}}],"schema":"https://github.com/citation-style-language/schema/raw/master/csl-citation.json"} </w:instrText>
      </w:r>
      <w:r>
        <w:fldChar w:fldCharType="separate"/>
      </w:r>
      <w:r w:rsidR="0077366F" w:rsidRPr="0077366F">
        <w:rPr>
          <w:rFonts w:cs="Times"/>
          <w:szCs w:val="24"/>
          <w:vertAlign w:val="superscript"/>
        </w:rPr>
        <w:t>17</w:t>
      </w:r>
      <w:r>
        <w:fldChar w:fldCharType="end"/>
      </w:r>
      <w:r w:rsidRPr="00302919">
        <w:t xml:space="preserve">. </w:t>
      </w:r>
      <w:r>
        <w:t>Daidzein, a phytoestrogen, was detected as having the highest CS</w:t>
      </w:r>
      <w:r w:rsidRPr="00F253DF">
        <w:rPr>
          <w:vertAlign w:val="subscript"/>
        </w:rPr>
        <w:t>growth</w:t>
      </w:r>
      <w:r>
        <w:rPr>
          <w:vertAlign w:val="subscript"/>
        </w:rPr>
        <w:t xml:space="preserve"> </w:t>
      </w:r>
      <w:r w:rsidRPr="00F253DF">
        <w:t>(Table 2)</w:t>
      </w:r>
      <w:r w:rsidRPr="00F1297A">
        <w:t>.</w:t>
      </w:r>
      <w:r>
        <w:t xml:space="preserve"> It is unlikely that this chemical is more active than chemicals such as 17β-estradiol and </w:t>
      </w:r>
      <w:r w:rsidRPr="00557FD4">
        <w:t>17α-</w:t>
      </w:r>
      <w:r>
        <w:t>e</w:t>
      </w:r>
      <w:r w:rsidRPr="00557FD4">
        <w:t>thinylestradiol</w:t>
      </w:r>
      <w:r>
        <w:t xml:space="preserve">, </w:t>
      </w:r>
      <w:r w:rsidRPr="00F1297A">
        <w:t>and is possibly due to</w:t>
      </w:r>
      <w:r w:rsidRPr="00F253DF">
        <w:rPr>
          <w:color w:val="0000CC"/>
        </w:rPr>
        <w:t xml:space="preserve"> </w:t>
      </w:r>
      <w:r w:rsidRPr="00F253DF">
        <w:t>crosstalk with other cell-growth related signaling pathways in this assay.</w:t>
      </w:r>
      <w:r w:rsidRPr="00F1297A">
        <w:t xml:space="preserve"> </w:t>
      </w:r>
      <w:r>
        <w:t>However, w</w:t>
      </w:r>
      <w:r w:rsidRPr="00F1297A">
        <w:t>hen interpreted in the context of the other CS groups, its overall ER Interaction Score is less tha</w:t>
      </w:r>
      <w:r>
        <w:t xml:space="preserve">n 17β-estradiol and </w:t>
      </w:r>
      <w:r w:rsidRPr="00557FD4">
        <w:t>17α-</w:t>
      </w:r>
      <w:r>
        <w:t>e</w:t>
      </w:r>
      <w:r w:rsidRPr="00557FD4">
        <w:t>thinylestradiol</w:t>
      </w:r>
      <w:r w:rsidRPr="00F1297A">
        <w:t xml:space="preserve">, which is likely more representative of daidzein’s </w:t>
      </w:r>
      <w:r>
        <w:t xml:space="preserve">known </w:t>
      </w:r>
      <w:r w:rsidRPr="00F1297A">
        <w:t>ER activity</w:t>
      </w:r>
      <w:r>
        <w:t xml:space="preserve"> (Table 2). Similarly, </w:t>
      </w:r>
      <w:r w:rsidRPr="00302919">
        <w:t>ER binding assays are susceptible to false positives from detergent compounds by displacement of the ligand by receptor denaturation</w:t>
      </w:r>
      <w:r>
        <w:t xml:space="preserve">. Many of these false positive signals </w:t>
      </w:r>
      <w:r w:rsidRPr="00302919">
        <w:t xml:space="preserve">can be identified </w:t>
      </w:r>
      <w:r>
        <w:t>by their presence in assay-specific clusters, while t</w:t>
      </w:r>
      <w:r w:rsidRPr="00302919">
        <w:t>he cluster that includes active compounds for all three of these groups includes known estrogenic compounds such as estrone, daidzein, 17α-ethinylestradiol</w:t>
      </w:r>
      <w:r>
        <w:t xml:space="preserve"> (Figure </w:t>
      </w:r>
      <w:r w:rsidR="00EA5F0D">
        <w:t>S</w:t>
      </w:r>
      <w:r>
        <w:t>2</w:t>
      </w:r>
      <w:r w:rsidR="00EA5F0D">
        <w:t xml:space="preserve"> in the SI</w:t>
      </w:r>
      <w:r w:rsidRPr="00302919">
        <w:t xml:space="preserve">) </w:t>
      </w:r>
      <w:r w:rsidRPr="00302919">
        <w:fldChar w:fldCharType="begin"/>
      </w:r>
      <w:r w:rsidR="0077366F">
        <w:instrText xml:space="preserve"> ADDIN ZOTERO_ITEM CSL_CITATION {"citationID":"1i4142p4dv","properties":{"formattedCitation":"{\\rtf \\super 26\\uc0\\u8211{}29\\nosupersub{}}","plainCitation":"26–29"},"citationItems":[{"id":114,"uris":["http://zotero.org/users/1283946/items/CHAQDNIX"],"uri":["http://zotero.org/users/1283946/items/CHAQDNIX"],"itemData":{"id":114,"type":"article-journal","title":"Predicted-no-effect concentrations for the steroid estrogens estrone, 17β-estradiol, estriol, and 17α-ethinylestradiol","container-title":"Environmental Toxicology and Chemistry","page":"1396–1406","volume":"31","issue":"6","source":"Google Scholar","author":[{"family":"Caldwell","given":"Daniel J."},{"family":"Mastrocco","given":"Frank"},{"family":"Anderson","given":"Paul D."},{"family":"Länge","given":"Reinhard"},{"family":"Sumpter","given":"John P."}],"issued":{"date-parts":[["2012"]]},"accessed":{"date-parts":[["2013",3,27]]}}},{"id":35,"uris":["http://zotero.org/users/1283946/items/55DGNZ6K"],"uri":["http://zotero.org/users/1283946/items/55DGNZ6K"],"itemData":{"id":35,"type":"article-journal","title":"Comparison of an array of in vitro assays for the assessment of the estrogenic potential of natural and synthetic estrogens, phytoestrogens and xenoestrogens","container-title":"Toxicology","page":"79-89","volume":"166","issue":"1-2","source":"NCBI PubMed","abstract":"Many chemicals in surface waters and sediments have recently been discovered to have estrogenic/antiestrogenic activity. Among these compounds, known as 'endocrine disrupters', are natural and synthetic hormones, phytoestrogenes and a variety of industrial chemicals, such as certain detergents and pesticides. These substances are supposed to affect the development and reproduction in wildlife and humans and may also be involved in the induction of cancer. In order to assess the estrogenic/antiestrogenic potential of pure compounds and complex environmental samples we compared an array of in vitro test systems, (i) two luciferase reporter gene assays using transgenic human MVLN cells (derived from MCF-7 cells) and HGELN cells (derived from HeLa cells); (ii) a competitive binding assay with recombinant human estrogen receptors (ER) alpha and beta; and (iii) a proliferation assay with MCF7-cells (E-Screen). The sensitivity of the assays for 17-beta-estradiol decreased in the order: MVLN-cells=E-Screen&gt;HGELN-cells&gt;binding to ER-alpha&gt;binding to ER-beta. A good correlation was obtained between the estrogenic potencies of 11 compounds (17-beta-estradiol (E(2)), estrone (E(1)), estriol (E(3)), ethinylestradiol (EE(2)), diethylstilbestrol (DES), coumestrol, beta-sitosterol, genistein, 4-nonylphenol, 4-octylphenol, bisphenol A) in the three tissue culture assays. The relative potencies of the compounds obtained by the cell free binding assays were one to two orders of magnitude higher compared with the cell culture assays. The phytoestrogens showed a preference to bind to ER-beta, but only genistein showed a much lower activity in the E-Screen (growth induction in breast cancer cells) compared with the luciferase induction in MVLN and HGELN-cells.","ISSN":"0300-483X","note":"PMID: 11518614","journalAbbreviation":"Toxicology","author":[{"family":"Gutendorf","given":"B"},{"family":"Westendorf","given":"J"}],"issued":{"date-parts":[["2001",9,14]]},"PMID":"11518614"}},{"id":189,"uris":["http://zotero.org/users/1283946/items/MTU2U5W7"],"uri":["http://zotero.org/users/1283946/items/MTU2U5W7"],"itemData":{"id":189,"type":"article-journal","title":"Daidzein-sulfate metabolites affect transcriptional and antiproliferative activities of estrogen receptor-beta in cultured human cancer cells","container-title":"The Journal of nutrition","page":"2687-2693","volume":"135","issue":"11","source":"NCBI PubMed","abstract":"Daidzein (D), a soy isoflavone, is almost completely metabolized in the gut and liver. This biotransformation converts D to more water-soluble products and may affect its biological activity. The ability of daidzein metabolites to modulate 17beta-estradiol (E2)-sensitive gene transcription, cell growth, and a proapoptotic cascade was determined in human cancer cells devoid of any estrogen receptor (ER) and rendered E2 sensitive after transfection with ERbeta. The data show that D and some but not all of its metabolites 1) induce promoter activity, 2) reduce proliferation, 3) promote p38/mitogen-activated protein kinase (MAPK) phosphorylation, and 4) activate a proapoptotic cascade involving the cleavage of caspase-3 and its substrate poly(ADP-ribose)polymerase (PARP) in human cancer cells in an ERbeta-dependent manner. Pretreatment of cells with ICI 182,780, a pure antiestrogen, completely prevented the actions of D and its metabolites. These findings highlight the important and complex influence of metabolic transformation on key physiological effects of isoflavones and demonstrate the need to take biotransformation into account when assessing the potential health benefits of consuming soy isoflavones.","ISSN":"0022-3166","note":"PMID: 16251631","journalAbbreviation":"J. Nutr.","author":[{"family":"Totta","given":"Pierangela"},{"family":"Acconcia","given":"Filippo"},{"family":"Virgili","given":"Fabio"},{"family":"Cassidy","given":"Aedin"},{"family":"Weinberg","given":"Peter D"},{"family":"Rimbach","given":"Gerald"},{"family":"Marino","given":"Maria"}],"issued":{"date-parts":[["2005",11]]},"PMID":"16251631"}},{"id":161,"uris":["http://zotero.org/users/1283946/items/IJRJ8AC6"],"uri":["http://zotero.org/users/1283946/items/IJRJ8AC6"],"itemData":{"id":161,"type":"article-journal","title":"The contribution of 17beta-hydroxysteroid dehydrogenase type 1 to the estradiol-estrone ratio in estrogen-sensitive breast cancer cells","container-title":"PloS one","page":"e29835","volume":"7","issue":"1","source":"NCBI PubMed","abstract":"Estrone and estradiol are both estrogens with estrone being the less potent form and estradiol being the most potent estrogen. The binding of the latter to cellular regulatory elements stimulates the proliferation of breast cancer cells. A high ratio of estradiol/estrone is related to increased cell proliferation, and is of great importance to understanding of breast cancer mechanisms. 17beta-hydroxysteroid dehydrogenase type 1 and type 2 play important roles in the activation of estrone and inactivation of estradiol. Breast cancer cells T47D, MCF-7, BT 20, and JEG 3 as control cells, were chosen to evaluate the contribution of these two enzymes to the ratio. Twenty four hours after addition of different concentrations of estrone and estradiol, the ratio stabilized to around 9/1 in breast cancer cell lines with high expression of type 1 (T47D, BT 20, and JEG 3), whereas it approached 1/5 in cells with low expression of type 1 (MCF-7). The estradiol/estrone concentration ratio was modified to 9/1 in MCF-7 and HEK-293 cells over-expressing type 1. In T47D and BT 20, this ratio was decreased from 9/1 to nearly 1/5 (19/81 and 17/83 respectively) after type 1 knockdown by specific siRNAs. Type 2 is mainly involved in the conversion of estradiol into estrone. This ratio was decreased from 9/1 to 7/3 after over-expression of type 2 in MCF-7 cells already over-expressing type 1. The ratio was further decreased by the addition of the oxidative cofactor, NAD, to the cell culture to facilitate the estradiol to estrone conversion catalyzed by type 2. These results demonstrate that the estradiol/estrone ratio is controlled by both type 1 and type 2 with an additional contribution by NAD, although type 1 is the first determining factor in the cellular environment compared with type 2 and cofactors. Moreover, kinetic studies were carried out in intact cells as a new approach, using HEK-293 cells over-expressing type 1 and T47D breast cancer cells.","DOI":"10.1371/journal.pone.0029835","ISSN":"1932-6203","note":"PMID: 22253796","journalAbbreviation":"PLoS ONE","author":[{"family":"Zhang","given":"Chen-Yan"},{"family":"Chen","given":"Jiong"},{"family":"Yin","given":"Da-Chuan"},{"family":"Lin","given":"Sheng-Xiang"}],"issued":{"date-parts":[["2012"]]},"PMID":"22253796"}}],"schema":"https://github.com/citation-style-language/schema/raw/master/csl-citation.json"} </w:instrText>
      </w:r>
      <w:r w:rsidRPr="00302919">
        <w:fldChar w:fldCharType="separate"/>
      </w:r>
      <w:r w:rsidR="0077366F" w:rsidRPr="0077366F">
        <w:rPr>
          <w:rFonts w:cs="Times"/>
          <w:szCs w:val="24"/>
          <w:vertAlign w:val="superscript"/>
        </w:rPr>
        <w:t>26–29</w:t>
      </w:r>
      <w:r w:rsidRPr="00302919">
        <w:fldChar w:fldCharType="end"/>
      </w:r>
      <w:r w:rsidRPr="00302919">
        <w:t xml:space="preserve">. </w:t>
      </w:r>
      <w:r>
        <w:t>Nonetheless, t</w:t>
      </w:r>
      <w:r w:rsidRPr="00302919">
        <w:t>he assays in the binding group were only tested up to 50µM</w:t>
      </w:r>
      <w:r>
        <w:t>.</w:t>
      </w:r>
      <w:r w:rsidRPr="00302919">
        <w:t xml:space="preserve"> </w:t>
      </w:r>
      <w:r>
        <w:t>T</w:t>
      </w:r>
      <w:r w:rsidRPr="00302919">
        <w:t xml:space="preserve">herefore, </w:t>
      </w:r>
      <w:r>
        <w:t>some</w:t>
      </w:r>
      <w:r w:rsidRPr="00302919">
        <w:t xml:space="preserve"> weakly active chemicals </w:t>
      </w:r>
      <w:r>
        <w:t>may</w:t>
      </w:r>
      <w:r w:rsidRPr="00302919">
        <w:t xml:space="preserve"> be undetected with these assays alone</w:t>
      </w:r>
      <w:r>
        <w:t xml:space="preserve">, so chemicals that are </w:t>
      </w:r>
      <w:r>
        <w:lastRenderedPageBreak/>
        <w:t>weakly active in the agonist and proliferation assays, tested to higher concentrations, are also likely to be true positives</w:t>
      </w:r>
      <w:r w:rsidRPr="00302919">
        <w:t xml:space="preserve">. </w:t>
      </w:r>
    </w:p>
    <w:p w:rsidR="00AA3E0C" w:rsidRDefault="00AA3E0C" w:rsidP="00AA3E0C">
      <w:pPr>
        <w:pStyle w:val="TAMainText"/>
      </w:pPr>
      <w:r>
        <w:t xml:space="preserve">A comparison of the </w:t>
      </w:r>
      <w:r w:rsidRPr="00302919">
        <w:t xml:space="preserve">ER Interaction Scores </w:t>
      </w:r>
      <w:r>
        <w:t>from well-</w:t>
      </w:r>
      <w:r w:rsidRPr="00302919">
        <w:t xml:space="preserve">established </w:t>
      </w:r>
      <w:r>
        <w:t>ER reference chemicals</w:t>
      </w:r>
      <w:r>
        <w:fldChar w:fldCharType="begin"/>
      </w:r>
      <w:r w:rsidR="0077366F">
        <w:instrText xml:space="preserve"> ADDIN ZOTERO_ITEM CSL_CITATION {"citationID":"crq3s6al4","properties":{"formattedCitation":"{\\rtf \\super 24\\nosupersub{}}","plainCitation":"24"},"citationItems":[{"id":744,"uris":["http://zotero.org/users/1283946/items/NU5S42HW"],"uri":["http://zotero.org/users/1283946/items/NU5S42HW"],"itemData":{"id":744,"type":"article","title":"ICCVAM Evaluation of In Vitro Test Methods for Detecting Potential Endocrine Disruptors: Estrogen Receptor and Androgen Receptor Binding and Transcriptional Activation Assays","URL":"http://ntp.niehs.nih.gov/?objectid=2BCCBB17-0AE4-6035-AE40845E0CBEBF2E","author":[{"family":"U.S. National Toxicology Program","given":""}],"issued":{"date-parts":[["2003"]]},"accessed":{"date-parts":[["2014",6,16]]}}}],"schema":"https://github.com/citation-style-language/schema/raw/master/csl-citation.json"} </w:instrText>
      </w:r>
      <w:r>
        <w:fldChar w:fldCharType="separate"/>
      </w:r>
      <w:r w:rsidR="0077366F" w:rsidRPr="0077366F">
        <w:rPr>
          <w:rFonts w:cs="Times"/>
          <w:szCs w:val="24"/>
          <w:vertAlign w:val="superscript"/>
        </w:rPr>
        <w:t>24</w:t>
      </w:r>
      <w:r>
        <w:fldChar w:fldCharType="end"/>
      </w:r>
      <w:r>
        <w:t xml:space="preserve"> suggested that the approach identifies potential ER active chemicals with a high sensitivity (100%) and moderate specificity (87.5%) for an overall balanced accuracy of 93.8%.  </w:t>
      </w:r>
      <w:r w:rsidRPr="00302919">
        <w:t xml:space="preserve">Furthermore, the model’s ER Interaction Scores successfully ranked chemicals according to their reference </w:t>
      </w:r>
      <w:r>
        <w:t>classifications</w:t>
      </w:r>
      <w:r w:rsidRPr="00302919">
        <w:t xml:space="preserve"> </w:t>
      </w:r>
      <w:r>
        <w:t>demonstrating a proportional association between the ER Interaction Score and the degree of ER activity</w:t>
      </w:r>
      <w:r w:rsidRPr="00302919">
        <w:t>.</w:t>
      </w:r>
      <w:r>
        <w:t xml:space="preserve">  When applied to a broader set of chemicals with </w:t>
      </w:r>
      <w:r>
        <w:rPr>
          <w:i/>
        </w:rPr>
        <w:t>in vivo</w:t>
      </w:r>
      <w:r>
        <w:t xml:space="preserve"> uterotrophic data, the ER Interaction Scores showed 91% sensitivity and 65% specificity, for an overall balanced accuracy of 78%. </w:t>
      </w:r>
      <w:r w:rsidRPr="006F5144">
        <w:t xml:space="preserve">The studies used in this analysis were all performed to OECD guidelines allowing for </w:t>
      </w:r>
      <w:r>
        <w:t>relatively</w:t>
      </w:r>
      <w:r w:rsidRPr="006F5144">
        <w:t xml:space="preserve"> consistent comparisons across chemicals</w:t>
      </w:r>
      <w:r>
        <w:fldChar w:fldCharType="begin"/>
      </w:r>
      <w:r w:rsidR="0077366F">
        <w:instrText xml:space="preserve"> ADDIN ZOTERO_ITEM CSL_CITATION {"citationID":"1pk2oo1ibp","properties":{"formattedCitation":"{\\rtf \\super 22\\nosupersub{}}","plainCitation":"22"},"citationItems":[{"id":81,"uris":["http://zotero.org/users/1283946/items/9QSF4KCA"],"uri":["http://zotero.org/users/1283946/items/9QSF4KCA"],"itemData":{"id":81,"type":"article-journal","title":"Using in Vitro High Throughput Screening Assays to Identify Potential Endocrine-Disrupting Chemicals","container-title":"Environmental Health Perspectives","page":"7","volume":"121","issue":"1","source":"Google Scholar","author":[{"family":"Rotroff","given":"D. M."},{"family":"Dix","given":"D. J."},{"family":"Houck","given":"K. A."},{"family":"Knudsen","given":"T. B."},{"family":"Martin","given":"M. T."},{"family":"McLaurin","given":"K. W."},{"family":"Reif","given":"D. M."},{"family":"Crofton","given":"K. M."},{"family":"Singh","given":"A. V."},{"family":"Xia","given":"M."}],"issued":{"date-parts":[["2013"]]},"accessed":{"date-parts":[["2013",2,3]]}}}],"schema":"https://github.com/citation-style-language/schema/raw/master/csl-citation.json"} </w:instrText>
      </w:r>
      <w:r>
        <w:fldChar w:fldCharType="separate"/>
      </w:r>
      <w:r w:rsidR="0077366F" w:rsidRPr="0077366F">
        <w:rPr>
          <w:rFonts w:cs="Times"/>
          <w:szCs w:val="24"/>
          <w:vertAlign w:val="superscript"/>
        </w:rPr>
        <w:t>22</w:t>
      </w:r>
      <w:r>
        <w:fldChar w:fldCharType="end"/>
      </w:r>
      <w:r w:rsidRPr="006F5144">
        <w:t xml:space="preserve">.  Two chemicals, atrazine and disulfiram were classified as </w:t>
      </w:r>
      <w:r>
        <w:t xml:space="preserve">false negatives, </w:t>
      </w:r>
      <w:r w:rsidRPr="006F5144">
        <w:t>having antagonistic uterotrophic activity and ER Interaction Scores of 0.</w:t>
      </w:r>
      <w:r>
        <w:t xml:space="preserve"> Disulfiram was detected as causing decreased uterine weight at 100 mg/kg/day, but was negative in both </w:t>
      </w:r>
      <w:r>
        <w:rPr>
          <w:i/>
        </w:rPr>
        <w:t xml:space="preserve">in vitro </w:t>
      </w:r>
      <w:r>
        <w:t>antagonist assays. Although the sensitivity of the model was 91%, the 13 assays used to construct the ER Interaction Score do not represent all mechanisms for which a chemical can causes changes in uterine weight. For example, a</w:t>
      </w:r>
      <w:r w:rsidRPr="006F5144">
        <w:t>trazine is known to suppress estrogen synthesis through the inhibition of aromatase and does not act through the estrogen receptor</w:t>
      </w:r>
      <w:r>
        <w:t>; t</w:t>
      </w:r>
      <w:r w:rsidRPr="006F5144">
        <w:t>herefore, it would not have been expected to be detected in these assays</w:t>
      </w:r>
      <w:r w:rsidRPr="006F5144">
        <w:fldChar w:fldCharType="begin"/>
      </w:r>
      <w:r w:rsidR="0077366F">
        <w:instrText xml:space="preserve"> ADDIN ZOTERO_ITEM CSL_CITATION {"citationID":"1ajkhos5k7","properties":{"formattedCitation":"{\\rtf \\super 30\\nosupersub{}}","plainCitation":"30"},"citationItems":[{"id":26,"uris":["http://zotero.org/users/1283946/items/44NKUDX8"],"uri":["http://zotero.org/users/1283946/items/44NKUDX8"],"itemData":{"id":26,"type":"article-journal","title":"Atrazine is a competitive inhibitor of phosphodiesterase but does not affect the estrogen receptor","container-title":"Toxicology letters","page":"61-68","volume":"154","issue":"1-2","source":"NCBI PubMed","abstract":"Atrazine (ATR), 2-chloro-4-ethylamino-6-isopropylamino-s-triazine, has been implicated in numerous studies to act as an endocrine disruptor, specifically by altering estradiol signaling via increased aromatase activity. Fluorescence polarization (FP) was used to show that the binding equilibria between estrogen receptor-alpha or estrogen receptor-beta, and estradiol were not affected by ATR and its metabolites: ATR-desethyl (ADE), ATR-desisopropyl (ADI), ATR-desethyldesisopropyl (ADD) and terbuthylazine (TBZ). Therefore, ATR and its degradation products were studied to determine their ability to inhibit phosphodiesterase (PDE), the enzyme responsible for hydrolyzing the second messenger cAMP to 5'-AMP. Using FP, it was found that ATR inhibited PDE with an IC50 value of 1.8 microM. This was lower than the known PDE inhibitor isobutyl methylxanthine (IBMX), which had an IC50 value of 4.6 microM. The ATR degradation products ADE, ADI, ADD and TBZ were less effective than ATR at inhibiting PDE when assayed using FP. Classical competitive binding assays, using radiolabeled 14C-cAMP in conjunction with thin layer chromatography (TLC), were used to determine that ATR was a competitive inhibitor of PDE with an association constant of 85 microM.","DOI":"10.1016/j.toxlet.2004.07.005","ISSN":"0378-4274","note":"PMID: 15475179","journalAbbreviation":"Toxicol. Lett.","author":[{"family":"Roberge","given":"Mark"},{"family":"Hakk","given":"Heldur"},{"family":"Larsen","given":"Gerald"}],"issued":{"date-parts":[["2004",12,1]]},"PMID":"15475179"}}],"schema":"https://github.com/citation-style-language/schema/raw/master/csl-citation.json"} </w:instrText>
      </w:r>
      <w:r w:rsidRPr="006F5144">
        <w:fldChar w:fldCharType="separate"/>
      </w:r>
      <w:r w:rsidR="0077366F" w:rsidRPr="0077366F">
        <w:rPr>
          <w:rFonts w:cs="Times"/>
          <w:szCs w:val="24"/>
          <w:vertAlign w:val="superscript"/>
        </w:rPr>
        <w:t>30</w:t>
      </w:r>
      <w:r w:rsidRPr="006F5144">
        <w:fldChar w:fldCharType="end"/>
      </w:r>
      <w:r>
        <w:t>. In addition, proliferative impacts on uterine weight are largely ERα mediated</w:t>
      </w:r>
      <w:r>
        <w:fldChar w:fldCharType="begin"/>
      </w:r>
      <w:r w:rsidR="0077366F">
        <w:instrText xml:space="preserve"> ADDIN ZOTERO_ITEM CSL_CITATION {"citationID":"9utmb868e","properties":{"formattedCitation":"{\\rtf \\super 31\\nosupersub{}}","plainCitation":"31"},"citationItems":[{"id":929,"uris":["http://zotero.org/users/1283946/items/WJ9855T5"],"uri":["http://zotero.org/users/1283946/items/WJ9855T5"],"itemData":{"id":929,"type":"article-journal","title":"Estrogen receptor (ER) β, a modulator of ERα in the uterus","container-title":"Proceedings of the National Academy of Sciences","page":"5936-5941","volume":"97","issue":"11","source":"www.pnas.org","abstract":"Many of the effects of estrogens on the uterus are mediated by ERα, the predominant ER in the mature organ. Because of the poor reproductive capacity of ERβ knockout (BERKO) female mice (small litter size, multiple-resorbed fetuses), the role of uterine ERβ was explored. In the immature uterus, ERα and ERβ are expressed at comparable levels in the epithelium and stroma, and 17β-estradiol (E2) treatment decreases ERβ in the stroma. The immature uterus of untreated BERKO mice exhibits elevated levels of progesterone receptor (PR) and the proliferation-associated protein, Ki-67. It also exhibits exaggerated responsiveness to E2, as indicated by enlargement of the lumen, increase in volume and protein content of uterine secretion, induction of the luminal epithelial secretory protein, complement C3, and its regulatory cytokine IL-1β, and induction of vascular endothelial growth factor and insulin-like growth factor 1 but not its receptor. As expected, E2 increased PR in the stroma and decreased it in the luminal epithelium of wild-type mice. In the BERKO uterus, E2 induced PR in the stroma but did not down-regulate it in the epithelium. Increased cell proliferation and exaggerated response to E2 in BERKO suggest that ERβ plays a role in modulation of the effects of ERα and in addition (or as a consequence of this) has an antiproliferative function in the immature uterus.","DOI":"10.1073/pnas.97.11.5936","ISSN":"0027-8424, 1091-6490","note":"PMID: 10823946","journalAbbreviation":"PNAS","language":"en","author":[{"family":"Weihua","given":"Zhang"},{"family":"Saji","given":"Shigehira"},{"family":"Mäkinen","given":"Sirpa"},{"family":"Cheng","given":"Guojun"},{"family":"Jensen","given":"Elwood V."},{"family":"Warner","given":"Margaret"},{"family":"Gustafsson","given":"Jan-Åke"}],"issued":{"date-parts":[["2000",5,23]]},"accessed":{"date-parts":[["2014",4,4]]},"PMID":"10823946"}}],"schema":"https://github.com/citation-style-language/schema/raw/master/csl-citation.json"} </w:instrText>
      </w:r>
      <w:r>
        <w:fldChar w:fldCharType="separate"/>
      </w:r>
      <w:r w:rsidR="0077366F" w:rsidRPr="0077366F">
        <w:rPr>
          <w:rFonts w:cs="Times"/>
          <w:szCs w:val="24"/>
          <w:vertAlign w:val="superscript"/>
        </w:rPr>
        <w:t>31</w:t>
      </w:r>
      <w:r>
        <w:fldChar w:fldCharType="end"/>
      </w:r>
      <w:r>
        <w:t>, so chemicals with high ER Interaction Scores due to predominantly ERβ activation may produce a false positive for the uterotrophic comparison</w:t>
      </w:r>
      <w:r w:rsidRPr="007A3829">
        <w:t xml:space="preserve">. However, no chemicals meeting this criterion were </w:t>
      </w:r>
      <w:r w:rsidRPr="00085827">
        <w:t xml:space="preserve">available for comparison in the uterotrophic analysis. Furthermore, the vast </w:t>
      </w:r>
      <w:r w:rsidRPr="00085827">
        <w:lastRenderedPageBreak/>
        <w:t xml:space="preserve">majority of chemicals with </w:t>
      </w:r>
      <w:r w:rsidRPr="007A3829">
        <w:t>significantly elevated ERβ Potency Scores relative to ERα Potency Scores had overall low ER Interaction Scores.</w:t>
      </w:r>
    </w:p>
    <w:p w:rsidR="00AA3E0C" w:rsidRPr="00302919" w:rsidRDefault="00AA3E0C" w:rsidP="00AA3E0C">
      <w:pPr>
        <w:pStyle w:val="TAMainText"/>
      </w:pPr>
      <w:r w:rsidRPr="00302919">
        <w:t>The ER Interaction Score provide</w:t>
      </w:r>
      <w:r>
        <w:t>s</w:t>
      </w:r>
      <w:r w:rsidRPr="00302919">
        <w:t xml:space="preserve"> a metric for ranking chemicals based on their potential to interact with</w:t>
      </w:r>
      <w:r>
        <w:t xml:space="preserve"> the</w:t>
      </w:r>
      <w:r w:rsidRPr="00302919">
        <w:t xml:space="preserve"> ER </w:t>
      </w:r>
      <w:r>
        <w:t>pathway.</w:t>
      </w:r>
      <w:r w:rsidRPr="00302919">
        <w:t xml:space="preserve"> The individual composite scores and </w:t>
      </w:r>
      <w:r>
        <w:rPr>
          <w:i/>
        </w:rPr>
        <w:t xml:space="preserve">in vitro </w:t>
      </w:r>
      <w:r w:rsidRPr="00302919">
        <w:t>assay characteristics can then be examined to investigate the specific activity associated with each chemical (e.g. agonist/antagonist, ERα/ERβ).</w:t>
      </w:r>
      <w:r>
        <w:t xml:space="preserve"> A major goal of this approach is to enable screening of thousands of untested environmental chemicals for potential endocrine disrupting activity via the ER pathway. This information would be used as one input into a prioritization process for the </w:t>
      </w:r>
      <w:r w:rsidRPr="00302919">
        <w:t>EPA EDSP</w:t>
      </w:r>
      <w:r>
        <w:t xml:space="preserve">. A proposed first tier for EDSP will be to use </w:t>
      </w:r>
      <w:r w:rsidRPr="00BA24FF">
        <w:rPr>
          <w:i/>
        </w:rPr>
        <w:t>in vitro</w:t>
      </w:r>
      <w:r>
        <w:t xml:space="preserve"> assays, such as described here, to prioritize chemicals for inclusion in the more complex and costly later tiers of EDSP </w:t>
      </w:r>
      <w:r>
        <w:fldChar w:fldCharType="begin"/>
      </w:r>
      <w:r w:rsidR="0077366F">
        <w:instrText xml:space="preserve"> ADDIN ZOTERO_ITEM CSL_CITATION {"citationID":"1jbajbvs2s","properties":{"formattedCitation":"{\\rtf \\super 32\\nosupersub{}}","plainCitation":"32"},"citationItems":[{"id":34,"uris":["http://zotero.org/users/1283946/items/4TB9QDC4"],"uri":["http://zotero.org/users/1283946/items/4TB9QDC4"],"itemData":{"id":34,"type":"webpage","title":"Endocrine Disruptor Screening Program for the 21st Century (EDSP21 Work Plan). The Incorporation of In Silico Models and In Vitro High Throughput Assays in the Endocrine Disruptor Screening Program (EDSP) for Prioritization and Screening","URL":"http://www.epa.gov/endo/pubs/edsp21_work_plan_summary%20_overview_final.pdf","author":[{"family":"U.S. EPA","given":""}],"issued":{"date-parts":[["2011"]]},"accessed":{"date-parts":[["2012",1,12]]}}}],"schema":"https://github.com/citation-style-language/schema/raw/master/csl-citation.json"} </w:instrText>
      </w:r>
      <w:r>
        <w:fldChar w:fldCharType="separate"/>
      </w:r>
      <w:r w:rsidR="0077366F" w:rsidRPr="0077366F">
        <w:rPr>
          <w:rFonts w:cs="Times"/>
          <w:szCs w:val="24"/>
          <w:vertAlign w:val="superscript"/>
        </w:rPr>
        <w:t>32</w:t>
      </w:r>
      <w:r>
        <w:fldChar w:fldCharType="end"/>
      </w:r>
      <w:r>
        <w:t>.   For the ~1,800 chemicals evaluated in this study, 82% did</w:t>
      </w:r>
      <w:r w:rsidRPr="00302919">
        <w:t xml:space="preserve"> not display indications of interacting with the ER signaling pathway, and would be low priorities for additional ER testing. If maximum sensitivity is desired, the model can be run with narrower confidence intervals around the composite curves</w:t>
      </w:r>
      <w:r>
        <w:t xml:space="preserve"> (Figure 3).  This would </w:t>
      </w:r>
      <w:r w:rsidRPr="00302919">
        <w:t xml:space="preserve">result in </w:t>
      </w:r>
      <w:r>
        <w:t xml:space="preserve">an </w:t>
      </w:r>
      <w:r w:rsidRPr="00302919">
        <w:t>increased false positive</w:t>
      </w:r>
      <w:r>
        <w:t xml:space="preserve"> rate</w:t>
      </w:r>
      <w:r w:rsidRPr="00302919">
        <w:t xml:space="preserve"> and </w:t>
      </w:r>
      <w:r>
        <w:t xml:space="preserve">a </w:t>
      </w:r>
      <w:r w:rsidRPr="00302919">
        <w:t>decreased false negative</w:t>
      </w:r>
      <w:r>
        <w:t xml:space="preserve"> rate</w:t>
      </w:r>
      <w:r w:rsidRPr="00302919">
        <w:t xml:space="preserve">. </w:t>
      </w:r>
    </w:p>
    <w:p w:rsidR="00AA3E0C" w:rsidRPr="00322E61" w:rsidRDefault="00783853" w:rsidP="00AA3E0C">
      <w:pPr>
        <w:pStyle w:val="TAMainText"/>
      </w:pPr>
      <w:r>
        <w:rPr>
          <w:noProof/>
        </w:rPr>
        <w:lastRenderedPageBreak/>
        <w:drawing>
          <wp:anchor distT="0" distB="0" distL="114300" distR="114300" simplePos="0" relativeHeight="251635200" behindDoc="0" locked="0" layoutInCell="1" allowOverlap="1" wp14:anchorId="17E99AB2" wp14:editId="77E050F0">
            <wp:simplePos x="0" y="0"/>
            <wp:positionH relativeFrom="column">
              <wp:posOffset>-465944</wp:posOffset>
            </wp:positionH>
            <wp:positionV relativeFrom="page">
              <wp:posOffset>2773436</wp:posOffset>
            </wp:positionV>
            <wp:extent cx="6240780" cy="4835525"/>
            <wp:effectExtent l="0" t="0" r="7620" b="3175"/>
            <wp:wrapSquare wrapText="bothSides"/>
            <wp:docPr id="2" name="Picture 2" descr="C:\ToxCast\Endocrine Disruption\ER\Manuscript\V.11_EST_Accepted\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oxCast\Endocrine Disruption\ER\Manuscript\V.11_EST_Accepted\Figure_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0780" cy="483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E0C" w:rsidRPr="00322E61">
        <w:t xml:space="preserve">In summary, an ER Interaction Score was </w:t>
      </w:r>
      <w:r w:rsidR="00AA3E0C">
        <w:t>developed</w:t>
      </w:r>
      <w:r w:rsidR="00AA3E0C" w:rsidRPr="00322E61">
        <w:t xml:space="preserve"> by aggregating data from 13 different </w:t>
      </w:r>
      <w:r w:rsidR="00AA3E0C" w:rsidRPr="00322E61">
        <w:rPr>
          <w:i/>
        </w:rPr>
        <w:t xml:space="preserve">in vitro </w:t>
      </w:r>
      <w:r w:rsidR="00AA3E0C" w:rsidRPr="00322E61">
        <w:t>ER</w:t>
      </w:r>
      <w:r w:rsidR="00AA3E0C" w:rsidRPr="00322E61">
        <w:rPr>
          <w:i/>
        </w:rPr>
        <w:t xml:space="preserve"> </w:t>
      </w:r>
      <w:r w:rsidR="00AA3E0C" w:rsidRPr="00322E61">
        <w:t xml:space="preserve">assays based on the known cellular ER signaling pathways. This model produced scores for an overall likelihood of a chemical being estrogenic, and these scores </w:t>
      </w:r>
      <w:r w:rsidR="00AA3E0C">
        <w:t>were</w:t>
      </w:r>
      <w:r w:rsidR="00AA3E0C" w:rsidRPr="00322E61">
        <w:t xml:space="preserve"> highly correlated with </w:t>
      </w:r>
      <w:r w:rsidR="00AA3E0C" w:rsidRPr="00322E61">
        <w:rPr>
          <w:i/>
        </w:rPr>
        <w:t xml:space="preserve">in vivo </w:t>
      </w:r>
      <w:r w:rsidR="00AA3E0C" w:rsidRPr="00322E61">
        <w:t>data and ER reference chemical classifications, indicating that the model is capable of predicting estrogenic likelihood with a high degree of accuracy.</w:t>
      </w:r>
    </w:p>
    <w:p w:rsidR="00E830B8" w:rsidRDefault="00E830B8" w:rsidP="00E830B8"/>
    <w:p w:rsidR="00E830B8" w:rsidRPr="00302919" w:rsidRDefault="00E830B8" w:rsidP="00E830B8">
      <w:pPr>
        <w:pStyle w:val="VAFigureCaption"/>
        <w:rPr>
          <w:b/>
        </w:rPr>
      </w:pPr>
      <w:r w:rsidRPr="00E830B8">
        <w:rPr>
          <w:b/>
        </w:rPr>
        <w:t>Figure 1.</w:t>
      </w:r>
      <w:r w:rsidRPr="00302919">
        <w:rPr>
          <w:b/>
        </w:rPr>
        <w:t xml:space="preserve"> </w:t>
      </w:r>
      <w:r w:rsidRPr="00302919">
        <w:t xml:space="preserve">Schematic of ER signaling pathway used to </w:t>
      </w:r>
      <w:r w:rsidRPr="00BB62CD">
        <w:t>define</w:t>
      </w:r>
      <w:r w:rsidRPr="00302919">
        <w:t xml:space="preserve"> </w:t>
      </w:r>
      <w:r w:rsidRPr="00AC72C1">
        <w:rPr>
          <w:i/>
        </w:rPr>
        <w:t xml:space="preserve">in vitro </w:t>
      </w:r>
      <w:r>
        <w:t>assay</w:t>
      </w:r>
      <w:r w:rsidRPr="00302919">
        <w:t xml:space="preserve"> groupings. </w:t>
      </w:r>
      <w:r>
        <w:t xml:space="preserve">The available </w:t>
      </w:r>
      <w:r>
        <w:rPr>
          <w:i/>
        </w:rPr>
        <w:t xml:space="preserve">in vitro </w:t>
      </w:r>
      <w:r>
        <w:t>assays measure the ability of a chemical to perturb different molecular events leading to increased or decreased ER activity. The n</w:t>
      </w:r>
      <w:r w:rsidRPr="00302919">
        <w:t xml:space="preserve">umbers identify </w:t>
      </w:r>
      <w:r>
        <w:t xml:space="preserve">the various </w:t>
      </w:r>
      <w:r w:rsidRPr="00302919">
        <w:t xml:space="preserve">molecular events </w:t>
      </w:r>
      <w:r>
        <w:t>measured using the</w:t>
      </w:r>
      <w:r w:rsidRPr="00302919">
        <w:t xml:space="preserve"> available assays and corr</w:t>
      </w:r>
      <w:r>
        <w:t xml:space="preserve">espond to the assays in Table </w:t>
      </w:r>
      <w:r w:rsidRPr="00302919">
        <w:t xml:space="preserve">1.  </w:t>
      </w:r>
      <w:r>
        <w:t>B</w:t>
      </w:r>
      <w:r w:rsidRPr="00302919">
        <w:t>inding group</w:t>
      </w:r>
      <w:r>
        <w:t xml:space="preserve"> </w:t>
      </w:r>
      <w:r>
        <w:lastRenderedPageBreak/>
        <w:t>assays, 1</w:t>
      </w:r>
      <w:r w:rsidRPr="00302919">
        <w:t xml:space="preserve">; </w:t>
      </w:r>
      <w:r>
        <w:t xml:space="preserve">agonist group assays, </w:t>
      </w:r>
      <w:r w:rsidRPr="00302919">
        <w:t>2,3,4,6</w:t>
      </w:r>
      <w:r>
        <w:t>;</w:t>
      </w:r>
      <w:r w:rsidRPr="00302919">
        <w:t xml:space="preserve"> </w:t>
      </w:r>
      <w:r>
        <w:t>antagonist group assays, 5; cell growth assay, 7.</w:t>
      </w:r>
      <w:r w:rsidRPr="00302919">
        <w:t xml:space="preserve"> Cell proliferation was identified as a functional endpoint of ER activation. </w:t>
      </w:r>
    </w:p>
    <w:p w:rsidR="00E830B8" w:rsidRDefault="00E830B8" w:rsidP="00AA3E0C">
      <w:pPr>
        <w:pStyle w:val="BDAbstract"/>
        <w:sectPr w:rsidR="00E830B8" w:rsidSect="000B5610">
          <w:footerReference w:type="even" r:id="rId11"/>
          <w:footerReference w:type="default" r:id="rId12"/>
          <w:type w:val="continuous"/>
          <w:pgSz w:w="12240" w:h="15840"/>
          <w:pgMar w:top="1440" w:right="1440" w:bottom="1440" w:left="1440" w:header="0" w:footer="0" w:gutter="0"/>
          <w:cols w:space="475"/>
          <w:docGrid w:linePitch="326"/>
        </w:sectPr>
      </w:pPr>
    </w:p>
    <w:p w:rsidR="00E830B8" w:rsidRPr="00E830B8" w:rsidRDefault="00E830B8" w:rsidP="00E830B8">
      <w:pPr>
        <w:pStyle w:val="BDAbstract"/>
      </w:pPr>
      <w:r>
        <w:rPr>
          <w:noProof/>
        </w:rPr>
        <w:lastRenderedPageBreak/>
        <w:drawing>
          <wp:anchor distT="0" distB="0" distL="114300" distR="114300" simplePos="0" relativeHeight="251656704" behindDoc="0" locked="0" layoutInCell="1" allowOverlap="1" wp14:anchorId="738E02D1" wp14:editId="2A0F010A">
            <wp:simplePos x="0" y="0"/>
            <wp:positionH relativeFrom="column">
              <wp:posOffset>-1234097</wp:posOffset>
            </wp:positionH>
            <wp:positionV relativeFrom="paragraph">
              <wp:posOffset>-504987</wp:posOffset>
            </wp:positionV>
            <wp:extent cx="9726980" cy="5813966"/>
            <wp:effectExtent l="0" t="0" r="7620" b="0"/>
            <wp:wrapTopAndBottom/>
            <wp:docPr id="4" name="Picture 4" descr="C:\ToxCast\Endocrine Disruption\ER\Manuscript\V.11_EST_Accepted\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oxCast\Endocrine Disruption\ER\Manuscript\V.11_EST_Accepted\Figure_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32389" cy="58171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0B8" w:rsidRDefault="00E830B8" w:rsidP="00E830B8">
      <w:pPr>
        <w:pStyle w:val="VAFigureCaption"/>
        <w:rPr>
          <w:b/>
        </w:rPr>
        <w:sectPr w:rsidR="00E830B8" w:rsidSect="00E830B8">
          <w:type w:val="continuous"/>
          <w:pgSz w:w="15840" w:h="12240" w:orient="landscape"/>
          <w:pgMar w:top="1440" w:right="1440" w:bottom="1440" w:left="1440" w:header="0" w:footer="0" w:gutter="0"/>
          <w:cols w:space="475"/>
          <w:docGrid w:linePitch="326"/>
        </w:sectPr>
      </w:pPr>
    </w:p>
    <w:p w:rsidR="00C008E7" w:rsidRDefault="00C008E7" w:rsidP="00E830B8">
      <w:pPr>
        <w:pStyle w:val="VAFigureCaption"/>
        <w:rPr>
          <w:b/>
        </w:rPr>
      </w:pPr>
    </w:p>
    <w:p w:rsidR="00E830B8" w:rsidRPr="00302919" w:rsidRDefault="00C008E7" w:rsidP="00E830B8">
      <w:pPr>
        <w:pStyle w:val="VAFigureCaption"/>
      </w:pPr>
      <w:r>
        <w:rPr>
          <w:b/>
          <w:noProof/>
        </w:rPr>
        <w:drawing>
          <wp:anchor distT="0" distB="0" distL="114300" distR="114300" simplePos="0" relativeHeight="251681280" behindDoc="1" locked="0" layoutInCell="1" allowOverlap="1" wp14:anchorId="7B4D4C1F" wp14:editId="5F6E4A3B">
            <wp:simplePos x="0" y="0"/>
            <wp:positionH relativeFrom="column">
              <wp:posOffset>-811282</wp:posOffset>
            </wp:positionH>
            <wp:positionV relativeFrom="paragraph">
              <wp:posOffset>2910205</wp:posOffset>
            </wp:positionV>
            <wp:extent cx="7258685" cy="3436620"/>
            <wp:effectExtent l="0" t="0" r="0" b="0"/>
            <wp:wrapTight wrapText="bothSides">
              <wp:wrapPolygon edited="0">
                <wp:start x="21371" y="0"/>
                <wp:lineTo x="0" y="0"/>
                <wp:lineTo x="0" y="21193"/>
                <wp:lineTo x="21315" y="21432"/>
                <wp:lineTo x="21541" y="21432"/>
                <wp:lineTo x="21541" y="0"/>
                <wp:lineTo x="21371" y="0"/>
              </wp:wrapPolygon>
            </wp:wrapTight>
            <wp:docPr id="9" name="Picture 9" descr="C:\ToxCast\Endocrine Disruption\ER\Manuscript\V.11_EST_Accepted\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oxCast\Endocrine Disruption\ER\Manuscript\V.11_EST_Accepted\Figure_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8685"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0B8" w:rsidRPr="00E830B8">
        <w:rPr>
          <w:b/>
        </w:rPr>
        <w:t>Figure 2.</w:t>
      </w:r>
      <w:r w:rsidR="00E830B8" w:rsidRPr="00302919">
        <w:t xml:space="preserve"> Graphical </w:t>
      </w:r>
      <w:r w:rsidR="00E830B8">
        <w:t>r</w:t>
      </w:r>
      <w:r w:rsidR="00E830B8" w:rsidRPr="00302919">
        <w:t xml:space="preserve">epresentation of </w:t>
      </w:r>
      <w:r w:rsidR="00E830B8">
        <w:t>the ER Interaction Score calculation and downstream analyses performed in the study.</w:t>
      </w:r>
      <w:r w:rsidR="00E830B8">
        <w:rPr>
          <w:b/>
        </w:rPr>
        <w:t xml:space="preserve">  </w:t>
      </w:r>
      <w:r w:rsidR="00E830B8">
        <w:t>(1) The i</w:t>
      </w:r>
      <w:r w:rsidR="00E830B8" w:rsidRPr="00302919">
        <w:t>nitial step group</w:t>
      </w:r>
      <w:r w:rsidR="00E830B8">
        <w:t xml:space="preserve">ed the </w:t>
      </w:r>
      <w:r w:rsidR="00E830B8">
        <w:rPr>
          <w:i/>
        </w:rPr>
        <w:t>in vitro</w:t>
      </w:r>
      <w:r w:rsidR="00E830B8" w:rsidRPr="00302919">
        <w:t xml:space="preserve"> assays according to the disjunctive logic of the</w:t>
      </w:r>
      <w:r w:rsidR="00E830B8">
        <w:t xml:space="preserve"> ER signaling pathway (Fig. </w:t>
      </w:r>
      <w:r w:rsidR="00E830B8" w:rsidRPr="00302919">
        <w:t>1</w:t>
      </w:r>
      <w:r w:rsidR="00E830B8">
        <w:t>)</w:t>
      </w:r>
      <w:r w:rsidR="00E830B8" w:rsidRPr="00302919">
        <w:t xml:space="preserve">. </w:t>
      </w:r>
      <w:r w:rsidR="00E830B8">
        <w:t>(2) C</w:t>
      </w:r>
      <w:r w:rsidR="00E830B8" w:rsidRPr="00302919">
        <w:t>omposite curves</w:t>
      </w:r>
      <w:r w:rsidR="00E830B8">
        <w:t xml:space="preserve"> we</w:t>
      </w:r>
      <w:r w:rsidR="00E830B8" w:rsidRPr="00302919">
        <w:t xml:space="preserve">re fit </w:t>
      </w:r>
      <w:r w:rsidR="00E830B8">
        <w:t xml:space="preserve">to the aggregated </w:t>
      </w:r>
      <w:r w:rsidR="00E830B8" w:rsidRPr="00302919">
        <w:t xml:space="preserve">data within each group to model the </w:t>
      </w:r>
      <w:r w:rsidR="00E830B8">
        <w:t xml:space="preserve">overall </w:t>
      </w:r>
      <w:r w:rsidR="00E830B8" w:rsidRPr="00302919">
        <w:t>concentration response.</w:t>
      </w:r>
      <w:r w:rsidR="00E830B8">
        <w:t xml:space="preserve"> C</w:t>
      </w:r>
      <w:r w:rsidR="00E830B8" w:rsidRPr="00302919">
        <w:t xml:space="preserve">omposite scores </w:t>
      </w:r>
      <w:r w:rsidR="00E830B8">
        <w:t>we</w:t>
      </w:r>
      <w:r w:rsidR="00E830B8" w:rsidRPr="00302919">
        <w:t xml:space="preserve">re clustered to identify chemicals with similar activity profiles among groups. </w:t>
      </w:r>
      <w:r w:rsidR="00E830B8">
        <w:t xml:space="preserve">(3) </w:t>
      </w:r>
      <w:r w:rsidR="00E830B8" w:rsidRPr="00302919">
        <w:t xml:space="preserve">ER Interaction Scores </w:t>
      </w:r>
      <w:r w:rsidR="00E830B8">
        <w:t>were</w:t>
      </w:r>
      <w:r w:rsidR="00E830B8" w:rsidRPr="00302919">
        <w:t xml:space="preserve"> calculated from the composite scores in each group to rank chemicals according to estrogenic likelihood. </w:t>
      </w:r>
      <w:r w:rsidR="00E830B8">
        <w:t>I</w:t>
      </w:r>
      <w:r w:rsidR="00E830B8" w:rsidRPr="00302919">
        <w:t xml:space="preserve">ndividual assays and composite scores </w:t>
      </w:r>
      <w:r w:rsidR="00E830B8">
        <w:t>we</w:t>
      </w:r>
      <w:r w:rsidR="00E830B8" w:rsidRPr="00302919">
        <w:t xml:space="preserve">re investigated for additional ER characteristics (agonism/antagonist, ERα/ERβ activity).   </w:t>
      </w:r>
    </w:p>
    <w:p w:rsidR="008B5E5D" w:rsidRPr="00302919" w:rsidRDefault="008B5E5D" w:rsidP="008B5E5D">
      <w:pPr>
        <w:pStyle w:val="VAFigureCaption"/>
        <w:rPr>
          <w:b/>
        </w:rPr>
      </w:pPr>
      <w:r>
        <w:rPr>
          <w:noProof/>
        </w:rPr>
        <w:lastRenderedPageBreak/>
        <w:drawing>
          <wp:anchor distT="0" distB="0" distL="114300" distR="114300" simplePos="0" relativeHeight="251665920" behindDoc="0" locked="0" layoutInCell="1" allowOverlap="1" wp14:anchorId="252294C6" wp14:editId="3AB23384">
            <wp:simplePos x="0" y="0"/>
            <wp:positionH relativeFrom="column">
              <wp:posOffset>-419100</wp:posOffset>
            </wp:positionH>
            <wp:positionV relativeFrom="paragraph">
              <wp:posOffset>3658039</wp:posOffset>
            </wp:positionV>
            <wp:extent cx="7272020" cy="5098415"/>
            <wp:effectExtent l="0" t="0" r="5080" b="6985"/>
            <wp:wrapSquare wrapText="bothSides"/>
            <wp:docPr id="7" name="Picture 7" descr="C:\ToxCast\Endocrine Disruption\ER\Manuscript\V.11_EST_Accepted\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oxCast\Endocrine Disruption\ER\Manuscript\V.11_EST_Accepted\Figure_4.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8128" r="4650"/>
                    <a:stretch/>
                  </pic:blipFill>
                  <pic:spPr bwMode="auto">
                    <a:xfrm>
                      <a:off x="0" y="0"/>
                      <a:ext cx="7272020" cy="509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E5D">
        <w:rPr>
          <w:b/>
        </w:rPr>
        <w:t>Figure 3.</w:t>
      </w:r>
      <w:r w:rsidRPr="00302919">
        <w:t xml:space="preserve"> </w:t>
      </w:r>
      <w:r>
        <w:t xml:space="preserve">Example of the </w:t>
      </w:r>
      <w:r>
        <w:rPr>
          <w:i/>
        </w:rPr>
        <w:t xml:space="preserve">in vitro </w:t>
      </w:r>
      <w:r>
        <w:t>assay aggregation and fitting of the c</w:t>
      </w:r>
      <w:r w:rsidRPr="00302919">
        <w:t xml:space="preserve">omposite </w:t>
      </w:r>
      <w:r>
        <w:t>concentration response c</w:t>
      </w:r>
      <w:r w:rsidRPr="00302919">
        <w:t>urve</w:t>
      </w:r>
      <w:r>
        <w:t xml:space="preserve">. </w:t>
      </w:r>
      <w:r w:rsidR="00B50E3D">
        <w:t>The present example shows how the CS</w:t>
      </w:r>
      <w:r w:rsidR="00B50E3D" w:rsidRPr="00A9455E">
        <w:rPr>
          <w:vertAlign w:val="subscript"/>
        </w:rPr>
        <w:t>agonist</w:t>
      </w:r>
      <w:r w:rsidR="00B50E3D">
        <w:t xml:space="preserve"> model was fit for Bisphenol A. </w:t>
      </w:r>
      <w:r>
        <w:rPr>
          <w:b/>
        </w:rPr>
        <w:t>(</w:t>
      </w:r>
      <w:r w:rsidRPr="00302919">
        <w:t xml:space="preserve">A) </w:t>
      </w:r>
      <w:r>
        <w:t>Linearly transformed, c</w:t>
      </w:r>
      <w:r w:rsidRPr="00302919">
        <w:t xml:space="preserve">oncentration response curves for all available </w:t>
      </w:r>
      <w:r>
        <w:rPr>
          <w:i/>
        </w:rPr>
        <w:t xml:space="preserve">in </w:t>
      </w:r>
      <w:r w:rsidRPr="001A28C4">
        <w:rPr>
          <w:i/>
        </w:rPr>
        <w:t>vitro</w:t>
      </w:r>
      <w:r>
        <w:t xml:space="preserve"> </w:t>
      </w:r>
      <w:r w:rsidRPr="001A28C4">
        <w:t>assays</w:t>
      </w:r>
      <w:r w:rsidRPr="00302919">
        <w:t xml:space="preserve"> included in the agonist group</w:t>
      </w:r>
      <w:r>
        <w:t xml:space="preserve"> for Bisphenol A</w:t>
      </w:r>
      <w:r w:rsidRPr="00302919">
        <w:t xml:space="preserve">. </w:t>
      </w:r>
      <w:r>
        <w:t>(</w:t>
      </w:r>
      <w:r w:rsidRPr="00302919">
        <w:t xml:space="preserve">B) </w:t>
      </w:r>
      <w:r>
        <w:t>C</w:t>
      </w:r>
      <w:r w:rsidRPr="00302919">
        <w:t xml:space="preserve">omposite </w:t>
      </w:r>
      <w:r>
        <w:t xml:space="preserve">concentration curve </w:t>
      </w:r>
      <w:r w:rsidRPr="00302919">
        <w:t>of all the individual concentration response curves from the agonist group for Bisphenol</w:t>
      </w:r>
      <w:r>
        <w:t xml:space="preserve"> </w:t>
      </w:r>
      <w:r w:rsidRPr="00302919">
        <w:t>A. The lower window of the model confidence interval is used to calculate the efficacy score</w:t>
      </w:r>
      <w:r>
        <w:t xml:space="preserve">.  The </w:t>
      </w:r>
      <w:r w:rsidRPr="00302919">
        <w:t xml:space="preserve">first concentration for which the lower window of the confidence interval does not overlap with zero is assigned </w:t>
      </w:r>
      <w:r>
        <w:t xml:space="preserve">as </w:t>
      </w:r>
      <w:r w:rsidRPr="00302919">
        <w:t xml:space="preserve">the LEC. The percentage across all tested concentrations that the LEC occurs is the Potency Score. If both the Potency and the Efficacy Score &gt; 0, the mean of the Potency and Efficacy score is assigned as the Composite Score for that group. </w:t>
      </w:r>
    </w:p>
    <w:p w:rsidR="008B5E5D" w:rsidRDefault="00580C58" w:rsidP="008B5E5D">
      <w:pPr>
        <w:pStyle w:val="VAFigureCaption"/>
      </w:pPr>
      <w:bookmarkStart w:id="3" w:name="_Toc352762153"/>
      <w:bookmarkStart w:id="4" w:name="_Toc346111528"/>
      <w:r>
        <w:rPr>
          <w:noProof/>
        </w:rPr>
        <w:lastRenderedPageBreak/>
        <w:drawing>
          <wp:anchor distT="0" distB="0" distL="114300" distR="114300" simplePos="0" relativeHeight="251689472" behindDoc="0" locked="0" layoutInCell="1" allowOverlap="1" wp14:anchorId="616F22A5" wp14:editId="7F911005">
            <wp:simplePos x="0" y="0"/>
            <wp:positionH relativeFrom="column">
              <wp:posOffset>-304165</wp:posOffset>
            </wp:positionH>
            <wp:positionV relativeFrom="paragraph">
              <wp:posOffset>3324127</wp:posOffset>
            </wp:positionV>
            <wp:extent cx="6354054" cy="5146020"/>
            <wp:effectExtent l="0" t="0" r="8890" b="0"/>
            <wp:wrapTopAndBottom/>
            <wp:docPr id="10" name="Picture 10" descr="C:\ToxCast\Endocrine Disruption\ER\Manuscript\V.11_EST_Accepted\Figure_5_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oxCast\Endocrine Disruption\ER\Manuscript\V.11_EST_Accepted\Figure_5_v3.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41"/>
                    <a:stretch/>
                  </pic:blipFill>
                  <pic:spPr bwMode="auto">
                    <a:xfrm>
                      <a:off x="0" y="0"/>
                      <a:ext cx="6354054" cy="51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E5D" w:rsidRPr="008B5E5D">
        <w:rPr>
          <w:b/>
          <w:bCs/>
        </w:rPr>
        <w:t>Figure 4.</w:t>
      </w:r>
      <w:r w:rsidR="008B5E5D" w:rsidRPr="00302919">
        <w:rPr>
          <w:b/>
          <w:bCs/>
        </w:rPr>
        <w:t xml:space="preserve"> </w:t>
      </w:r>
      <w:r w:rsidR="008B5E5D" w:rsidRPr="00302919">
        <w:t xml:space="preserve">Volcano </w:t>
      </w:r>
      <w:r w:rsidR="008B5E5D">
        <w:t>p</w:t>
      </w:r>
      <w:r w:rsidR="008B5E5D" w:rsidRPr="00302919">
        <w:t>lot</w:t>
      </w:r>
      <w:r w:rsidR="008B5E5D">
        <w:t xml:space="preserve"> of agonist and antagonist activity for all chemicals</w:t>
      </w:r>
      <w:r w:rsidR="008B5E5D" w:rsidRPr="00302919">
        <w:t>.</w:t>
      </w:r>
      <w:r w:rsidR="008B5E5D" w:rsidRPr="00302919">
        <w:rPr>
          <w:b/>
        </w:rPr>
        <w:t xml:space="preserve"> </w:t>
      </w:r>
      <w:r w:rsidR="008B5E5D" w:rsidRPr="00302919">
        <w:t xml:space="preserve">Agonist and antagonist </w:t>
      </w:r>
      <w:r w:rsidR="008B5E5D">
        <w:t>CS values were</w:t>
      </w:r>
      <w:r w:rsidR="008B5E5D" w:rsidRPr="00302919">
        <w:t xml:space="preserve"> plotted </w:t>
      </w:r>
      <w:r w:rsidR="008B5E5D">
        <w:t>as a function of the</w:t>
      </w:r>
      <w:r w:rsidR="008B5E5D" w:rsidRPr="00302919">
        <w:t xml:space="preserve"> ER Interaction Score on the y-axis and </w:t>
      </w:r>
      <w:r w:rsidR="008B5E5D">
        <w:t>or</w:t>
      </w:r>
      <w:r w:rsidR="008B5E5D" w:rsidRPr="00302919">
        <w:t>CS</w:t>
      </w:r>
      <w:r w:rsidR="008B5E5D" w:rsidRPr="00302919">
        <w:rPr>
          <w:vertAlign w:val="subscript"/>
        </w:rPr>
        <w:t>agonist</w:t>
      </w:r>
      <w:r w:rsidR="008B5E5D" w:rsidRPr="00302919" w:rsidDel="00A425C6">
        <w:t xml:space="preserve"> </w:t>
      </w:r>
      <w:r w:rsidR="008B5E5D" w:rsidRPr="00302919">
        <w:t>and CS</w:t>
      </w:r>
      <w:r w:rsidR="008B5E5D" w:rsidRPr="00302919">
        <w:rPr>
          <w:vertAlign w:val="subscript"/>
        </w:rPr>
        <w:t>antagonist</w:t>
      </w:r>
      <w:r w:rsidR="008B5E5D" w:rsidRPr="00302919">
        <w:t xml:space="preserve"> on the x-axis. Chemicals with high ER Interaction Scores and high CS</w:t>
      </w:r>
      <w:r w:rsidR="008B5E5D" w:rsidRPr="00302919">
        <w:rPr>
          <w:vertAlign w:val="subscript"/>
        </w:rPr>
        <w:t>agonist</w:t>
      </w:r>
      <w:r w:rsidR="008B5E5D" w:rsidRPr="00302919">
        <w:t xml:space="preserve"> fall to the upper right quadrant, whereas chemicals with high ER Interaction Scores and high CS</w:t>
      </w:r>
      <w:r w:rsidR="008B5E5D" w:rsidRPr="00302919">
        <w:rPr>
          <w:vertAlign w:val="subscript"/>
        </w:rPr>
        <w:t>antagonist</w:t>
      </w:r>
      <w:r w:rsidR="008B5E5D" w:rsidRPr="00302919">
        <w:t xml:space="preserve"> are located in the upper left quadrant. The colors are determined by the potency of the LEC value. Some chemicals may have a high ER Interaction Score driven partially by their efficacy relative to another chemical’s more potent response. The chemicals in the middle of the x-axis with ER Interaction Score &gt; 0 had no significant activity in either the agonist or antagonist groups, but</w:t>
      </w:r>
      <w:r w:rsidR="008B5E5D">
        <w:t xml:space="preserve"> </w:t>
      </w:r>
      <w:r w:rsidR="008B5E5D" w:rsidRPr="00302919">
        <w:t>were active in the binding assay group</w:t>
      </w:r>
      <w:r w:rsidR="008B5E5D">
        <w:t>.</w:t>
      </w:r>
      <w:bookmarkEnd w:id="3"/>
    </w:p>
    <w:bookmarkEnd w:id="4"/>
    <w:p w:rsidR="00E830B8" w:rsidRDefault="00ED2BBD" w:rsidP="00ED2BBD">
      <w:pPr>
        <w:pStyle w:val="VAFigureCaption"/>
      </w:pPr>
      <w:r w:rsidRPr="00ED2BBD">
        <w:rPr>
          <w:b/>
          <w:bCs/>
        </w:rPr>
        <w:lastRenderedPageBreak/>
        <w:t>Figure 5.</w:t>
      </w:r>
      <w:r w:rsidRPr="00302919">
        <w:rPr>
          <w:b/>
          <w:bCs/>
        </w:rPr>
        <w:t xml:space="preserve"> </w:t>
      </w:r>
      <w:r>
        <w:t>Concordance of ER Interaction Scores and reference chemical classification</w:t>
      </w:r>
      <w:r w:rsidRPr="00302919">
        <w:t>.</w:t>
      </w:r>
      <w:r w:rsidRPr="00302919">
        <w:rPr>
          <w:b/>
        </w:rPr>
        <w:t xml:space="preserve"> </w:t>
      </w:r>
      <w:r>
        <w:rPr>
          <w:b/>
        </w:rPr>
        <w:t>(</w:t>
      </w:r>
      <w:r w:rsidRPr="0087009C">
        <w:t>A)</w:t>
      </w:r>
      <w:r>
        <w:rPr>
          <w:b/>
        </w:rPr>
        <w:t xml:space="preserve"> </w:t>
      </w:r>
      <w:r>
        <w:t>Volcano plot of</w:t>
      </w:r>
      <w:r w:rsidRPr="00302919">
        <w:t xml:space="preserve"> </w:t>
      </w:r>
      <w:r>
        <w:t xml:space="preserve">ER Interaction Scores as a function of </w:t>
      </w:r>
      <w:r w:rsidRPr="00302919">
        <w:t>CS</w:t>
      </w:r>
      <w:r w:rsidRPr="00302919">
        <w:rPr>
          <w:vertAlign w:val="subscript"/>
        </w:rPr>
        <w:t>agonist</w:t>
      </w:r>
      <w:r w:rsidRPr="00302919">
        <w:t xml:space="preserve"> and the CS</w:t>
      </w:r>
      <w:r w:rsidRPr="00302919">
        <w:rPr>
          <w:vertAlign w:val="subscript"/>
        </w:rPr>
        <w:t>antagonist</w:t>
      </w:r>
      <w:r>
        <w:t xml:space="preserve"> values for a subset of reference chemicals with defined levels of receptor activity.  </w:t>
      </w:r>
      <w:r w:rsidRPr="00302919">
        <w:t xml:space="preserve">Reference chemical classifications were determined by expert review of the literature and NICEATM consensus. </w:t>
      </w:r>
      <w:r>
        <w:t>(</w:t>
      </w:r>
      <w:bookmarkStart w:id="5" w:name="_Toc352762157"/>
      <w:r>
        <w:rPr>
          <w:bCs/>
        </w:rPr>
        <w:t>B)</w:t>
      </w:r>
      <w:r w:rsidRPr="00302919">
        <w:rPr>
          <w:b/>
          <w:bCs/>
        </w:rPr>
        <w:t xml:space="preserve"> </w:t>
      </w:r>
      <w:r>
        <w:rPr>
          <w:bCs/>
        </w:rPr>
        <w:t xml:space="preserve">Distributions of </w:t>
      </w:r>
      <w:r w:rsidRPr="00302919">
        <w:t xml:space="preserve">ER Interaction Scores </w:t>
      </w:r>
      <w:r>
        <w:t xml:space="preserve">were evaluated within each of the reference classes. </w:t>
      </w:r>
      <w:r w:rsidR="00580C58">
        <w:t xml:space="preserve">The y-axis is the ER Interaction Score and the x-axis are different reference chemical classifications. </w:t>
      </w:r>
      <w:r w:rsidRPr="00302919">
        <w:t>Reference chemicals were classified as strong, strong-moderate, weak, very weak, or negative according to expert literature review and in consensus with NICEATM evaluations. A</w:t>
      </w:r>
      <w:r>
        <w:t>n overall association between</w:t>
      </w:r>
      <w:r w:rsidRPr="00302919">
        <w:t xml:space="preserve"> ER Interaction Scores and reference chemical classifications</w:t>
      </w:r>
      <w:r>
        <w:t xml:space="preserve"> was statistically significant</w:t>
      </w:r>
      <w:r w:rsidRPr="00302919">
        <w:t xml:space="preserve"> (</w:t>
      </w:r>
      <w:r w:rsidRPr="00302919">
        <w:rPr>
          <w:i/>
        </w:rPr>
        <w:t>p</w:t>
      </w:r>
      <w:r>
        <w:rPr>
          <w:i/>
        </w:rPr>
        <w:t xml:space="preserve"> </w:t>
      </w:r>
      <w:r w:rsidRPr="00302919">
        <w:t>&lt; .0001).</w:t>
      </w:r>
      <w:bookmarkEnd w:id="5"/>
      <w:r w:rsidR="00580C58">
        <w:t xml:space="preserve"> A more detailed version of this figure with statistical tests for each group are presented in Figure S</w:t>
      </w:r>
      <w:r w:rsidR="003F6C6A">
        <w:t>8</w:t>
      </w:r>
      <w:r w:rsidR="00580C58">
        <w:t xml:space="preserve"> in the SI</w:t>
      </w:r>
      <w:r>
        <w:t>.</w:t>
      </w:r>
    </w:p>
    <w:p w:rsidR="008B5E5D" w:rsidRDefault="008B5E5D" w:rsidP="008B5E5D"/>
    <w:p w:rsidR="008B5E5D" w:rsidRDefault="008B5E5D" w:rsidP="008B5E5D">
      <w:pPr>
        <w:rPr>
          <w:noProof/>
        </w:rPr>
      </w:pPr>
    </w:p>
    <w:p w:rsidR="008B5E5D" w:rsidRPr="008B5E5D" w:rsidRDefault="008B5E5D" w:rsidP="008B5E5D">
      <w:pPr>
        <w:sectPr w:rsidR="008B5E5D" w:rsidRPr="008B5E5D" w:rsidSect="00E830B8">
          <w:type w:val="continuous"/>
          <w:pgSz w:w="12240" w:h="15840"/>
          <w:pgMar w:top="1440" w:right="1440" w:bottom="1440" w:left="1440" w:header="0" w:footer="0" w:gutter="0"/>
          <w:cols w:space="475"/>
          <w:docGrid w:linePitch="326"/>
        </w:sectPr>
      </w:pPr>
    </w:p>
    <w:p w:rsidR="00E830B8" w:rsidRDefault="00E830B8" w:rsidP="00C10EE0">
      <w:pPr>
        <w:pStyle w:val="VCSchemeTitle"/>
        <w:spacing w:after="240"/>
        <w:jc w:val="left"/>
      </w:pPr>
    </w:p>
    <w:p w:rsidR="00ED2BBD" w:rsidRPr="00302919" w:rsidRDefault="00ED2BBD" w:rsidP="00ED2BBD">
      <w:pPr>
        <w:pStyle w:val="VDTableTitle"/>
      </w:pPr>
      <w:r w:rsidRPr="0063159A">
        <w:rPr>
          <w:b/>
        </w:rPr>
        <w:t xml:space="preserve">Table 1. </w:t>
      </w:r>
      <w:r w:rsidRPr="00302919">
        <w:t xml:space="preserve">ER </w:t>
      </w:r>
      <w:r w:rsidRPr="00302919">
        <w:rPr>
          <w:i/>
        </w:rPr>
        <w:t xml:space="preserve">In Vitro </w:t>
      </w:r>
      <w:r w:rsidRPr="00302919">
        <w:t>Assay Annotation and Model Grouping</w:t>
      </w:r>
    </w:p>
    <w:tbl>
      <w:tblPr>
        <w:tblpPr w:leftFromText="180" w:rightFromText="180" w:vertAnchor="text" w:horzAnchor="margin" w:tblpY="377"/>
        <w:tblW w:w="9825" w:type="dxa"/>
        <w:tblLayout w:type="fixed"/>
        <w:tblCellMar>
          <w:left w:w="0" w:type="dxa"/>
          <w:right w:w="0" w:type="dxa"/>
        </w:tblCellMar>
        <w:tblLook w:val="04A0" w:firstRow="1" w:lastRow="0" w:firstColumn="1" w:lastColumn="0" w:noHBand="0" w:noVBand="1"/>
      </w:tblPr>
      <w:tblGrid>
        <w:gridCol w:w="825"/>
        <w:gridCol w:w="3330"/>
        <w:gridCol w:w="4320"/>
        <w:gridCol w:w="1350"/>
      </w:tblGrid>
      <w:tr w:rsidR="00ED2BBD" w:rsidRPr="00302919" w:rsidTr="00ED2BBD">
        <w:trPr>
          <w:trHeight w:val="609"/>
        </w:trPr>
        <w:tc>
          <w:tcPr>
            <w:tcW w:w="825" w:type="dxa"/>
            <w:tcBorders>
              <w:top w:val="single" w:sz="4" w:space="0" w:color="auto"/>
              <w:left w:val="single" w:sz="4" w:space="0" w:color="FFFFFF"/>
              <w:bottom w:val="single" w:sz="4" w:space="0" w:color="auto"/>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rPr>
            </w:pPr>
            <w:r>
              <w:rPr>
                <w:rFonts w:eastAsia="Calibri"/>
              </w:rPr>
              <w:t xml:space="preserve">Map to Figure </w:t>
            </w:r>
            <w:r w:rsidRPr="00302919">
              <w:rPr>
                <w:rFonts w:eastAsia="Calibri"/>
              </w:rPr>
              <w:t>1</w:t>
            </w:r>
          </w:p>
        </w:tc>
        <w:tc>
          <w:tcPr>
            <w:tcW w:w="3330" w:type="dxa"/>
            <w:tcBorders>
              <w:top w:val="single" w:sz="4" w:space="0" w:color="auto"/>
              <w:left w:val="nil"/>
              <w:bottom w:val="single" w:sz="4" w:space="0" w:color="auto"/>
              <w:right w:val="single" w:sz="4" w:space="0" w:color="FFFFFF"/>
            </w:tcBorders>
            <w:shd w:val="clear" w:color="auto" w:fill="auto"/>
            <w:tcMar>
              <w:top w:w="15" w:type="dxa"/>
              <w:left w:w="15" w:type="dxa"/>
              <w:bottom w:w="0" w:type="dxa"/>
              <w:right w:w="15" w:type="dxa"/>
            </w:tcMar>
            <w:vAlign w:val="center"/>
            <w:hideMark/>
          </w:tcPr>
          <w:p w:rsidR="00ED2BBD" w:rsidRPr="00302919" w:rsidRDefault="00ED2BBD" w:rsidP="00ED2BBD">
            <w:pPr>
              <w:pStyle w:val="TCTableBody"/>
              <w:rPr>
                <w:rFonts w:eastAsia="Calibri"/>
              </w:rPr>
            </w:pPr>
            <w:r w:rsidRPr="00302919">
              <w:rPr>
                <w:rFonts w:eastAsia="Calibri"/>
              </w:rPr>
              <w:t>Assay Name</w:t>
            </w:r>
          </w:p>
        </w:tc>
        <w:tc>
          <w:tcPr>
            <w:tcW w:w="4320" w:type="dxa"/>
            <w:tcBorders>
              <w:top w:val="single" w:sz="4" w:space="0" w:color="auto"/>
              <w:left w:val="nil"/>
              <w:bottom w:val="single" w:sz="4" w:space="0" w:color="auto"/>
              <w:right w:val="single" w:sz="4" w:space="0" w:color="FFFFFF"/>
            </w:tcBorders>
            <w:shd w:val="clear" w:color="auto" w:fill="auto"/>
            <w:tcMar>
              <w:top w:w="15" w:type="dxa"/>
              <w:left w:w="15" w:type="dxa"/>
              <w:bottom w:w="0" w:type="dxa"/>
              <w:right w:w="15" w:type="dxa"/>
            </w:tcMar>
            <w:vAlign w:val="center"/>
            <w:hideMark/>
          </w:tcPr>
          <w:p w:rsidR="00ED2BBD" w:rsidRPr="00302919" w:rsidRDefault="00ED2BBD" w:rsidP="00ED2BBD">
            <w:pPr>
              <w:pStyle w:val="TCTableBody"/>
              <w:rPr>
                <w:rFonts w:eastAsia="Calibri"/>
              </w:rPr>
            </w:pPr>
            <w:r w:rsidRPr="00302919">
              <w:rPr>
                <w:rFonts w:eastAsia="Calibri"/>
              </w:rPr>
              <w:t>Assay Information</w:t>
            </w:r>
          </w:p>
        </w:tc>
        <w:tc>
          <w:tcPr>
            <w:tcW w:w="1350" w:type="dxa"/>
            <w:tcBorders>
              <w:top w:val="single" w:sz="4" w:space="0" w:color="auto"/>
              <w:left w:val="nil"/>
              <w:bottom w:val="single" w:sz="4" w:space="0" w:color="auto"/>
              <w:right w:val="single" w:sz="4" w:space="0" w:color="FFFFFF"/>
            </w:tcBorders>
            <w:shd w:val="clear" w:color="auto" w:fill="auto"/>
            <w:tcMar>
              <w:top w:w="15" w:type="dxa"/>
              <w:left w:w="15" w:type="dxa"/>
              <w:bottom w:w="0" w:type="dxa"/>
              <w:right w:w="15" w:type="dxa"/>
            </w:tcMar>
            <w:vAlign w:val="center"/>
            <w:hideMark/>
          </w:tcPr>
          <w:p w:rsidR="00ED2BBD" w:rsidRPr="00302919" w:rsidRDefault="00ED2BBD" w:rsidP="00ED2BBD">
            <w:pPr>
              <w:pStyle w:val="TCTableBody"/>
              <w:rPr>
                <w:rFonts w:eastAsia="Calibri"/>
              </w:rPr>
            </w:pPr>
            <w:r w:rsidRPr="00302919">
              <w:rPr>
                <w:rFonts w:eastAsia="Calibri"/>
              </w:rPr>
              <w:t>Group</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1</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NVS_NR_hER</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Human ER binding assay</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Binding</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1</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NVS_NR_mERa</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Murine ERα binding assay</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Binding</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1</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NVS_NR_bER</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Bovine ER binding assay</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Binding</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2</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OT_ERaERa_1440_agonist</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Odyssey Thera ERα-ERα dimerization in agonist mode after 1440 minutes</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3</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OT_ERa_ERb_1440_agonist</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Odyssey Thera ERα-ERβ dimerization in agonist mode after 1440 minutes</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4</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OT_ERbERb_1440_agonist</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 xml:space="preserve">Odyssey Thera ERβ-ERβ dimerization in agonist mode after 1440 minutes   </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5</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sz w:val="20"/>
              </w:rPr>
            </w:pPr>
            <w:r w:rsidRPr="00302919">
              <w:rPr>
                <w:rFonts w:eastAsia="Calibri"/>
                <w:sz w:val="20"/>
              </w:rPr>
              <w:t>Tox21_ERa_LUC_BG1_Antagonist</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 xml:space="preserve">ERα luciferase reporter gene assay in human BG-1 ovarian cells in antagonist mode </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Antagonist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5</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sz w:val="20"/>
              </w:rPr>
            </w:pPr>
            <w:r w:rsidRPr="00302919">
              <w:rPr>
                <w:rFonts w:eastAsia="Calibri"/>
                <w:sz w:val="20"/>
              </w:rPr>
              <w:t>Tox21_ERa_BLA_Antagonist_ratio</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ERα β-lactamase reporter gene assay in human HEK-293 cells in antagonist mode</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Antagonist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6</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sz w:val="20"/>
              </w:rPr>
            </w:pPr>
            <w:r w:rsidRPr="00302919">
              <w:rPr>
                <w:rFonts w:eastAsia="Calibri"/>
                <w:sz w:val="20"/>
              </w:rPr>
              <w:t>Tox21_ERa_LUC_BG1_Agonist</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 xml:space="preserve">ERα luciferase reporter gene assay in human BG-1 ovarian cells in agonist mode </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6</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sz w:val="20"/>
              </w:rPr>
            </w:pPr>
            <w:r w:rsidRPr="00302919">
              <w:rPr>
                <w:rFonts w:eastAsia="Calibri"/>
                <w:sz w:val="20"/>
              </w:rPr>
              <w:t>Tox21_ERa_BLA_Agonist_ratio</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ERα β-lactamase reporter gene assay in human HEK-293 cells in agonist mode</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6</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sz w:val="20"/>
              </w:rPr>
            </w:pPr>
            <w:r w:rsidRPr="00302919">
              <w:rPr>
                <w:rFonts w:eastAsia="Calibri"/>
                <w:sz w:val="20"/>
              </w:rPr>
              <w:t>ATG_ERE_CIS</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Multiplexed ER reporter gene assay using full length receptor in HepG2 cells</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6</w:t>
            </w:r>
          </w:p>
        </w:tc>
        <w:tc>
          <w:tcPr>
            <w:tcW w:w="333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sz w:val="20"/>
              </w:rPr>
            </w:pPr>
            <w:r w:rsidRPr="00302919">
              <w:rPr>
                <w:rFonts w:eastAsia="Calibri"/>
                <w:sz w:val="20"/>
              </w:rPr>
              <w:t>ATG_ERa_TRANS</w:t>
            </w:r>
          </w:p>
        </w:tc>
        <w:tc>
          <w:tcPr>
            <w:tcW w:w="432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Multiplexed GAL4 reporter construct with human ERα ligand-binding domain in HepG2 cells.</w:t>
            </w:r>
          </w:p>
        </w:tc>
        <w:tc>
          <w:tcPr>
            <w:tcW w:w="1350" w:type="dxa"/>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Agonist</w:t>
            </w:r>
          </w:p>
        </w:tc>
      </w:tr>
      <w:tr w:rsidR="00ED2BBD" w:rsidRPr="00302919" w:rsidTr="00ED2BBD">
        <w:trPr>
          <w:trHeight w:val="20"/>
        </w:trPr>
        <w:tc>
          <w:tcPr>
            <w:tcW w:w="825" w:type="dxa"/>
            <w:tcBorders>
              <w:top w:val="nil"/>
              <w:left w:val="single" w:sz="4" w:space="0" w:color="FFFFFF"/>
              <w:bottom w:val="nil"/>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7</w:t>
            </w:r>
          </w:p>
        </w:tc>
        <w:tc>
          <w:tcPr>
            <w:tcW w:w="3330" w:type="dxa"/>
            <w:tcBorders>
              <w:top w:val="nil"/>
              <w:left w:val="nil"/>
              <w:bottom w:val="nil"/>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ACEA_T47D_80h</w:t>
            </w:r>
          </w:p>
        </w:tc>
        <w:tc>
          <w:tcPr>
            <w:tcW w:w="4320" w:type="dxa"/>
            <w:tcBorders>
              <w:top w:val="nil"/>
              <w:left w:val="nil"/>
              <w:bottom w:val="nil"/>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 xml:space="preserve">Cell growth using real-time cell analysis in T47D cells at 80 hours </w:t>
            </w:r>
          </w:p>
        </w:tc>
        <w:tc>
          <w:tcPr>
            <w:tcW w:w="1350" w:type="dxa"/>
            <w:tcBorders>
              <w:top w:val="nil"/>
              <w:left w:val="nil"/>
              <w:bottom w:val="nil"/>
              <w:right w:val="single" w:sz="4" w:space="0" w:color="FFFFFF"/>
            </w:tcBorders>
            <w:shd w:val="clear" w:color="auto" w:fill="auto"/>
            <w:noWrap/>
            <w:tcMar>
              <w:top w:w="15" w:type="dxa"/>
              <w:left w:w="15" w:type="dxa"/>
              <w:bottom w:w="0" w:type="dxa"/>
              <w:right w:w="15" w:type="dxa"/>
            </w:tcMar>
            <w:vAlign w:val="center"/>
            <w:hideMark/>
          </w:tcPr>
          <w:p w:rsidR="00ED2BBD" w:rsidRPr="00302919" w:rsidRDefault="00ED2BBD" w:rsidP="00ED2BBD">
            <w:pPr>
              <w:pStyle w:val="TCTableBody"/>
              <w:rPr>
                <w:rFonts w:eastAsia="Calibri"/>
                <w:color w:val="000000"/>
                <w:sz w:val="20"/>
              </w:rPr>
            </w:pPr>
            <w:r w:rsidRPr="00302919">
              <w:rPr>
                <w:rFonts w:eastAsia="Calibri"/>
                <w:color w:val="000000"/>
                <w:sz w:val="20"/>
              </w:rPr>
              <w:t>Cell Growth</w:t>
            </w:r>
          </w:p>
        </w:tc>
      </w:tr>
    </w:tbl>
    <w:p w:rsidR="00ED2BBD" w:rsidRDefault="00ED2BBD" w:rsidP="00C10EE0">
      <w:pPr>
        <w:pStyle w:val="VDTableTitle"/>
        <w:spacing w:after="240"/>
        <w:jc w:val="left"/>
      </w:pPr>
    </w:p>
    <w:p w:rsidR="00602DED" w:rsidRPr="00602DED" w:rsidRDefault="00602DED" w:rsidP="00602DED"/>
    <w:p w:rsidR="00602DED" w:rsidRPr="00602DED" w:rsidRDefault="00602DED" w:rsidP="00602DED"/>
    <w:p w:rsidR="00602DED" w:rsidRDefault="00602DED" w:rsidP="00ED2BBD">
      <w:pPr>
        <w:pStyle w:val="VDTableTitle"/>
        <w:sectPr w:rsidR="00602DED" w:rsidSect="00E830B8">
          <w:pgSz w:w="12240" w:h="15840"/>
          <w:pgMar w:top="1440" w:right="1440" w:bottom="1440" w:left="1440" w:header="0" w:footer="0" w:gutter="0"/>
          <w:cols w:space="475"/>
          <w:docGrid w:linePitch="326"/>
        </w:sectPr>
      </w:pPr>
    </w:p>
    <w:p w:rsidR="0063159A" w:rsidRDefault="0063159A" w:rsidP="0063159A">
      <w:pPr>
        <w:pStyle w:val="VDTableTitle"/>
      </w:pPr>
      <w:r w:rsidRPr="0063159A">
        <w:rPr>
          <w:b/>
        </w:rPr>
        <w:lastRenderedPageBreak/>
        <w:t>Table 2.</w:t>
      </w:r>
      <w:r w:rsidRPr="00302919">
        <w:t xml:space="preserve"> </w:t>
      </w:r>
      <w:r>
        <w:t>Top 25</w:t>
      </w:r>
      <w:r w:rsidRPr="00302919">
        <w:t xml:space="preserve"> Chemicals with Highest ER Interaction Scores</w:t>
      </w:r>
      <w:r>
        <w:t xml:space="preserve">  </w:t>
      </w:r>
    </w:p>
    <w:tbl>
      <w:tblPr>
        <w:tblStyle w:val="LightShading112"/>
        <w:tblW w:w="14670" w:type="dxa"/>
        <w:tblInd w:w="-844" w:type="dxa"/>
        <w:tblLayout w:type="fixed"/>
        <w:tblLook w:val="05A0" w:firstRow="1" w:lastRow="0" w:firstColumn="1" w:lastColumn="1" w:noHBand="0" w:noVBand="1"/>
      </w:tblPr>
      <w:tblGrid>
        <w:gridCol w:w="1368"/>
        <w:gridCol w:w="3852"/>
        <w:gridCol w:w="1620"/>
        <w:gridCol w:w="990"/>
        <w:gridCol w:w="1350"/>
        <w:gridCol w:w="990"/>
        <w:gridCol w:w="1440"/>
        <w:gridCol w:w="1530"/>
        <w:gridCol w:w="1530"/>
      </w:tblGrid>
      <w:tr w:rsidR="0063159A" w:rsidRPr="00557FD4" w:rsidTr="0063159A">
        <w:trPr>
          <w:cnfStyle w:val="100000000000" w:firstRow="1" w:lastRow="0" w:firstColumn="0" w:lastColumn="0" w:oddVBand="0" w:evenVBand="0" w:oddHBand="0"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1368" w:type="dxa"/>
            <w:vMerge w:val="restart"/>
            <w:noWrap/>
            <w:vAlign w:val="bottom"/>
            <w:hideMark/>
          </w:tcPr>
          <w:p w:rsidR="0063159A" w:rsidRPr="00557FD4" w:rsidRDefault="0063159A" w:rsidP="0063159A">
            <w:pPr>
              <w:jc w:val="center"/>
              <w:rPr>
                <w:b w:val="0"/>
                <w:bCs w:val="0"/>
                <w:color w:val="auto"/>
              </w:rPr>
            </w:pPr>
            <w:r w:rsidRPr="00557FD4">
              <w:t>CASRN</w:t>
            </w:r>
          </w:p>
        </w:tc>
        <w:tc>
          <w:tcPr>
            <w:tcW w:w="3852" w:type="dxa"/>
            <w:vMerge w:val="restart"/>
            <w:vAlign w:val="bottom"/>
            <w:hideMark/>
          </w:tcPr>
          <w:p w:rsidR="0063159A" w:rsidRPr="00557FD4" w:rsidRDefault="0063159A" w:rsidP="0063159A">
            <w:pPr>
              <w:cnfStyle w:val="100000000000" w:firstRow="1" w:lastRow="0" w:firstColumn="0" w:lastColumn="0" w:oddVBand="0" w:evenVBand="0" w:oddHBand="0" w:evenHBand="0" w:firstRowFirstColumn="0" w:firstRowLastColumn="0" w:lastRowFirstColumn="0" w:lastRowLastColumn="0"/>
            </w:pPr>
            <w:r w:rsidRPr="00557FD4">
              <w:t>Chemical Name</w:t>
            </w:r>
          </w:p>
        </w:tc>
        <w:tc>
          <w:tcPr>
            <w:tcW w:w="4950" w:type="dxa"/>
            <w:gridSpan w:val="4"/>
            <w:vAlign w:val="bottom"/>
            <w:hideMark/>
          </w:tcPr>
          <w:p w:rsidR="0063159A" w:rsidRPr="00557FD4" w:rsidRDefault="0063159A" w:rsidP="0063159A">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57FD4">
              <w:t>Composite Score</w:t>
            </w:r>
          </w:p>
        </w:tc>
        <w:tc>
          <w:tcPr>
            <w:tcW w:w="1440" w:type="dxa"/>
            <w:vMerge w:val="restart"/>
            <w:vAlign w:val="bottom"/>
          </w:tcPr>
          <w:p w:rsidR="0063159A" w:rsidRPr="00557FD4" w:rsidRDefault="0063159A" w:rsidP="0063159A">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57FD4">
              <w:t>ER Interaction Score</w:t>
            </w:r>
          </w:p>
        </w:tc>
        <w:tc>
          <w:tcPr>
            <w:tcW w:w="1530" w:type="dxa"/>
            <w:vMerge w:val="restart"/>
            <w:vAlign w:val="bottom"/>
          </w:tcPr>
          <w:p w:rsidR="0063159A" w:rsidRPr="00557FD4" w:rsidRDefault="0063159A" w:rsidP="0063159A">
            <w:pPr>
              <w:jc w:val="center"/>
              <w:cnfStyle w:val="100000000000" w:firstRow="1" w:lastRow="0" w:firstColumn="0" w:lastColumn="0" w:oddVBand="0" w:evenVBand="0" w:oddHBand="0" w:evenHBand="0" w:firstRowFirstColumn="0" w:firstRowLastColumn="0" w:lastRowFirstColumn="0" w:lastRowLastColumn="0"/>
              <w:rPr>
                <w:b w:val="0"/>
              </w:rPr>
            </w:pPr>
            <w:r w:rsidRPr="00557FD4">
              <w:rPr>
                <w:b w:val="0"/>
              </w:rPr>
              <w:t xml:space="preserve">ERα </w:t>
            </w:r>
          </w:p>
          <w:p w:rsidR="0063159A" w:rsidRPr="00557FD4" w:rsidRDefault="0063159A" w:rsidP="0063159A">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57FD4">
              <w:rPr>
                <w:b w:val="0"/>
              </w:rPr>
              <w:t>Dimerization Potency Score</w:t>
            </w:r>
          </w:p>
        </w:tc>
        <w:tc>
          <w:tcPr>
            <w:cnfStyle w:val="000100000000" w:firstRow="0" w:lastRow="0" w:firstColumn="0" w:lastColumn="1" w:oddVBand="0" w:evenVBand="0" w:oddHBand="0" w:evenHBand="0" w:firstRowFirstColumn="0" w:firstRowLastColumn="0" w:lastRowFirstColumn="0" w:lastRowLastColumn="0"/>
            <w:tcW w:w="1530" w:type="dxa"/>
            <w:vMerge w:val="restart"/>
            <w:vAlign w:val="bottom"/>
          </w:tcPr>
          <w:p w:rsidR="0063159A" w:rsidRPr="00557FD4" w:rsidRDefault="0063159A" w:rsidP="0063159A">
            <w:pPr>
              <w:jc w:val="center"/>
              <w:rPr>
                <w:b w:val="0"/>
                <w:bCs w:val="0"/>
                <w:color w:val="auto"/>
              </w:rPr>
            </w:pPr>
          </w:p>
          <w:p w:rsidR="0063159A" w:rsidRPr="00557FD4" w:rsidRDefault="0063159A" w:rsidP="0063159A">
            <w:pPr>
              <w:jc w:val="center"/>
              <w:rPr>
                <w:b w:val="0"/>
              </w:rPr>
            </w:pPr>
            <w:r w:rsidRPr="00557FD4">
              <w:rPr>
                <w:b w:val="0"/>
              </w:rPr>
              <w:t xml:space="preserve">ERβ </w:t>
            </w:r>
          </w:p>
          <w:p w:rsidR="0063159A" w:rsidRPr="00557FD4" w:rsidRDefault="0063159A" w:rsidP="0063159A">
            <w:pPr>
              <w:jc w:val="center"/>
              <w:rPr>
                <w:b w:val="0"/>
                <w:bCs w:val="0"/>
                <w:color w:val="auto"/>
              </w:rPr>
            </w:pPr>
            <w:r w:rsidRPr="00557FD4">
              <w:rPr>
                <w:b w:val="0"/>
              </w:rPr>
              <w:t>Dimerization Potency Score</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368" w:type="dxa"/>
            <w:vMerge/>
            <w:tcBorders>
              <w:bottom w:val="single" w:sz="8" w:space="0" w:color="000000"/>
            </w:tcBorders>
            <w:noWrap/>
            <w:vAlign w:val="bottom"/>
            <w:hideMark/>
          </w:tcPr>
          <w:p w:rsidR="0063159A" w:rsidRPr="00557FD4" w:rsidRDefault="0063159A" w:rsidP="0063159A"/>
        </w:tc>
        <w:tc>
          <w:tcPr>
            <w:tcW w:w="3852" w:type="dxa"/>
            <w:vMerge/>
            <w:tcBorders>
              <w:bottom w:val="single" w:sz="8" w:space="0" w:color="000000"/>
            </w:tcBorders>
            <w:vAlign w:val="bottom"/>
            <w:hideMark/>
          </w:tcPr>
          <w:p w:rsidR="0063159A" w:rsidRPr="00557FD4" w:rsidRDefault="0063159A" w:rsidP="0063159A">
            <w:pPr>
              <w:cnfStyle w:val="000000100000" w:firstRow="0" w:lastRow="0" w:firstColumn="0" w:lastColumn="0" w:oddVBand="0" w:evenVBand="0" w:oddHBand="1" w:evenHBand="0" w:firstRowFirstColumn="0" w:firstRowLastColumn="0" w:lastRowFirstColumn="0" w:lastRowLastColumn="0"/>
            </w:pPr>
          </w:p>
        </w:tc>
        <w:tc>
          <w:tcPr>
            <w:tcW w:w="1620" w:type="dxa"/>
            <w:tcBorders>
              <w:top w:val="single" w:sz="8" w:space="0" w:color="000000"/>
              <w:bottom w:val="single" w:sz="8" w:space="0" w:color="000000"/>
            </w:tcBorders>
            <w:shd w:val="clear" w:color="auto" w:fill="auto"/>
            <w:vAlign w:val="bottom"/>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rPr>
                <w:color w:val="auto"/>
              </w:rPr>
            </w:pPr>
            <w:r w:rsidRPr="00557FD4">
              <w:t>Binding</w:t>
            </w:r>
          </w:p>
        </w:tc>
        <w:tc>
          <w:tcPr>
            <w:tcW w:w="990" w:type="dxa"/>
            <w:tcBorders>
              <w:top w:val="nil"/>
              <w:bottom w:val="single" w:sz="8" w:space="0" w:color="000000"/>
            </w:tcBorders>
            <w:shd w:val="clear" w:color="auto" w:fill="auto"/>
            <w:vAlign w:val="bottom"/>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rPr>
                <w:color w:val="auto"/>
              </w:rPr>
            </w:pPr>
            <w:r w:rsidRPr="00557FD4">
              <w:t>Agonist</w:t>
            </w:r>
          </w:p>
        </w:tc>
        <w:tc>
          <w:tcPr>
            <w:tcW w:w="1350" w:type="dxa"/>
            <w:tcBorders>
              <w:top w:val="nil"/>
              <w:bottom w:val="single" w:sz="8" w:space="0" w:color="000000"/>
            </w:tcBorders>
            <w:shd w:val="clear" w:color="auto" w:fill="auto"/>
            <w:vAlign w:val="bottom"/>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rPr>
                <w:color w:val="auto"/>
              </w:rPr>
            </w:pPr>
            <w:r w:rsidRPr="00557FD4">
              <w:t>Antagonist</w:t>
            </w:r>
          </w:p>
        </w:tc>
        <w:tc>
          <w:tcPr>
            <w:tcW w:w="990" w:type="dxa"/>
            <w:tcBorders>
              <w:top w:val="nil"/>
              <w:bottom w:val="single" w:sz="8" w:space="0" w:color="000000"/>
            </w:tcBorders>
            <w:shd w:val="clear" w:color="auto" w:fill="auto"/>
            <w:vAlign w:val="bottom"/>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rPr>
                <w:color w:val="auto"/>
              </w:rPr>
            </w:pPr>
            <w:r w:rsidRPr="00557FD4">
              <w:t>Growth</w:t>
            </w:r>
          </w:p>
        </w:tc>
        <w:tc>
          <w:tcPr>
            <w:tcW w:w="1440" w:type="dxa"/>
            <w:vMerge/>
            <w:tcBorders>
              <w:bottom w:val="single" w:sz="8" w:space="0" w:color="000000"/>
            </w:tcBorders>
            <w:vAlign w:val="bottom"/>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1530" w:type="dxa"/>
            <w:vMerge/>
            <w:tcBorders>
              <w:bottom w:val="single" w:sz="8" w:space="0" w:color="000000"/>
            </w:tcBorders>
            <w:vAlign w:val="bottom"/>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rPr>
                <w:color w:val="auto"/>
              </w:rPr>
            </w:pPr>
          </w:p>
        </w:tc>
        <w:tc>
          <w:tcPr>
            <w:cnfStyle w:val="000100000000" w:firstRow="0" w:lastRow="0" w:firstColumn="0" w:lastColumn="1" w:oddVBand="0" w:evenVBand="0" w:oddHBand="0" w:evenHBand="0" w:firstRowFirstColumn="0" w:firstRowLastColumn="0" w:lastRowFirstColumn="0" w:lastRowLastColumn="0"/>
            <w:tcW w:w="1530" w:type="dxa"/>
            <w:vMerge/>
            <w:tcBorders>
              <w:bottom w:val="single" w:sz="8" w:space="0" w:color="000000"/>
            </w:tcBorders>
            <w:vAlign w:val="bottom"/>
          </w:tcPr>
          <w:p w:rsidR="0063159A" w:rsidRPr="00557FD4" w:rsidRDefault="0063159A" w:rsidP="0063159A">
            <w:pPr>
              <w:jc w:val="center"/>
              <w:rPr>
                <w:b w:val="0"/>
                <w:bCs w:val="0"/>
                <w:color w:val="auto"/>
              </w:rPr>
            </w:pPr>
          </w:p>
        </w:tc>
      </w:tr>
      <w:tr w:rsidR="0063159A" w:rsidRPr="00557FD4" w:rsidTr="0063159A">
        <w:trPr>
          <w:trHeight w:hRule="exact" w:val="1415"/>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82640-04-8</w:t>
            </w:r>
          </w:p>
        </w:tc>
        <w:tc>
          <w:tcPr>
            <w:tcW w:w="3852" w:type="dxa"/>
            <w:noWrap/>
            <w:vAlign w:val="center"/>
            <w:hideMark/>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Raloxifene hydrochloride</w:t>
            </w:r>
          </w:p>
        </w:tc>
        <w:tc>
          <w:tcPr>
            <w:tcW w:w="162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86.18</w:t>
            </w:r>
          </w:p>
        </w:tc>
        <w:tc>
          <w:tcPr>
            <w:tcW w:w="99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99.89</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93.04</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70.23</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20.67</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57-91-0</w:t>
            </w:r>
          </w:p>
        </w:tc>
        <w:tc>
          <w:tcPr>
            <w:tcW w:w="3852" w:type="dxa"/>
            <w:noWrap/>
            <w:vAlign w:val="center"/>
            <w:hideMark/>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 xml:space="preserve">17α-Estradiol </w:t>
            </w:r>
          </w:p>
        </w:tc>
        <w:tc>
          <w:tcPr>
            <w:tcW w:w="162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94.96</w:t>
            </w:r>
          </w:p>
        </w:tc>
        <w:tc>
          <w:tcPr>
            <w:tcW w:w="99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82.81</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76.58</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84.78</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70.82</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75.22</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50-28-2</w:t>
            </w:r>
          </w:p>
        </w:tc>
        <w:tc>
          <w:tcPr>
            <w:tcW w:w="3852" w:type="dxa"/>
            <w:noWrap/>
            <w:vAlign w:val="center"/>
            <w:hideMark/>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17β -Estradiol</w:t>
            </w:r>
            <w:r w:rsidRPr="00557FD4">
              <w:rPr>
                <w:vertAlign w:val="superscript"/>
              </w:rPr>
              <w:t>a</w:t>
            </w:r>
            <w:r w:rsidRPr="00557FD4">
              <w:t xml:space="preserve"> </w:t>
            </w:r>
          </w:p>
        </w:tc>
        <w:tc>
          <w:tcPr>
            <w:tcW w:w="162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83.21</w:t>
            </w:r>
          </w:p>
        </w:tc>
        <w:tc>
          <w:tcPr>
            <w:tcW w:w="99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100.00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63.65</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82.28</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68.42</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67.60</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t>68392-35-8</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4-Hydroxytamoxifen</w:t>
            </w:r>
            <w:r w:rsidRPr="00557FD4" w:rsidDel="00470AB3">
              <w:t xml:space="preserve"> </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82.77</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81.00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81.89</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68.69</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23.25</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57-63-6</w:t>
            </w:r>
          </w:p>
        </w:tc>
        <w:tc>
          <w:tcPr>
            <w:tcW w:w="3852" w:type="dxa"/>
            <w:noWrap/>
            <w:vAlign w:val="center"/>
            <w:hideMark/>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17α-Ethinylestradiol</w:t>
            </w:r>
          </w:p>
        </w:tc>
        <w:tc>
          <w:tcPr>
            <w:tcW w:w="162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98.63</w:t>
            </w:r>
          </w:p>
        </w:tc>
        <w:tc>
          <w:tcPr>
            <w:tcW w:w="99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85.10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50.68</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78.14</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69.85</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65.41</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84-16-2</w:t>
            </w:r>
          </w:p>
        </w:tc>
        <w:tc>
          <w:tcPr>
            <w:tcW w:w="3852" w:type="dxa"/>
            <w:noWrap/>
            <w:vAlign w:val="center"/>
            <w:hideMark/>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meso-Hexestrol</w:t>
            </w:r>
          </w:p>
        </w:tc>
        <w:tc>
          <w:tcPr>
            <w:tcW w:w="162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100.00</w:t>
            </w:r>
          </w:p>
        </w:tc>
        <w:tc>
          <w:tcPr>
            <w:tcW w:w="99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77.33</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57.08</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78.14</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67.48</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68.50</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56-53-1</w:t>
            </w:r>
          </w:p>
        </w:tc>
        <w:tc>
          <w:tcPr>
            <w:tcW w:w="3852" w:type="dxa"/>
            <w:noWrap/>
            <w:vAlign w:val="center"/>
            <w:hideMark/>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Diethylstilbestrol</w:t>
            </w:r>
          </w:p>
        </w:tc>
        <w:tc>
          <w:tcPr>
            <w:tcW w:w="162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97.34</w:t>
            </w:r>
          </w:p>
        </w:tc>
        <w:tc>
          <w:tcPr>
            <w:tcW w:w="99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77.58</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48.14</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74.35</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70.88</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77.83</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50-28-2</w:t>
            </w:r>
          </w:p>
        </w:tc>
        <w:tc>
          <w:tcPr>
            <w:tcW w:w="3852" w:type="dxa"/>
            <w:noWrap/>
            <w:vAlign w:val="center"/>
            <w:hideMark/>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17β-Estradiol</w:t>
            </w:r>
            <w:r w:rsidRPr="00557FD4">
              <w:rPr>
                <w:vertAlign w:val="superscript"/>
              </w:rPr>
              <w:t>b</w:t>
            </w:r>
          </w:p>
        </w:tc>
        <w:tc>
          <w:tcPr>
            <w:tcW w:w="162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99.12</w:t>
            </w:r>
          </w:p>
        </w:tc>
        <w:tc>
          <w:tcPr>
            <w:tcW w:w="99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82.99</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35.82</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72.65</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71.15</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76.66</w:t>
            </w:r>
          </w:p>
        </w:tc>
      </w:tr>
      <w:tr w:rsidR="0063159A" w:rsidRPr="00557FD4" w:rsidTr="0063159A">
        <w:trPr>
          <w:trHeight w:val="321"/>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50-41-9</w:t>
            </w:r>
          </w:p>
        </w:tc>
        <w:tc>
          <w:tcPr>
            <w:tcW w:w="3852" w:type="dxa"/>
            <w:noWrap/>
            <w:vAlign w:val="center"/>
            <w:hideMark/>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Clomiphene citrate</w:t>
            </w:r>
          </w:p>
        </w:tc>
        <w:tc>
          <w:tcPr>
            <w:tcW w:w="162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80.30</w:t>
            </w:r>
          </w:p>
        </w:tc>
        <w:tc>
          <w:tcPr>
            <w:tcW w:w="99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59.86</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70.08</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89.81</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65.64</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53-16-7</w:t>
            </w:r>
          </w:p>
        </w:tc>
        <w:tc>
          <w:tcPr>
            <w:tcW w:w="3852" w:type="dxa"/>
            <w:noWrap/>
            <w:vAlign w:val="center"/>
            <w:hideMark/>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 xml:space="preserve">Estrone </w:t>
            </w:r>
          </w:p>
        </w:tc>
        <w:tc>
          <w:tcPr>
            <w:tcW w:w="162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89.80</w:t>
            </w:r>
          </w:p>
        </w:tc>
        <w:tc>
          <w:tcPr>
            <w:tcW w:w="990" w:type="dxa"/>
            <w:noWrap/>
            <w:vAlign w:val="center"/>
            <w:hideMark/>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59.02</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56.42</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68.41</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46.94</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49.88</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63159A" w:rsidRPr="00557FD4" w:rsidRDefault="0063159A" w:rsidP="0063159A">
            <w:pPr>
              <w:jc w:val="center"/>
            </w:pPr>
            <w:r w:rsidRPr="00557FD4">
              <w:t>486-66-8</w:t>
            </w:r>
          </w:p>
        </w:tc>
        <w:tc>
          <w:tcPr>
            <w:tcW w:w="3852" w:type="dxa"/>
            <w:noWrap/>
            <w:vAlign w:val="center"/>
            <w:hideMark/>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 xml:space="preserve">Daidzein </w:t>
            </w:r>
          </w:p>
        </w:tc>
        <w:tc>
          <w:tcPr>
            <w:tcW w:w="162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55.55</w:t>
            </w:r>
          </w:p>
        </w:tc>
        <w:tc>
          <w:tcPr>
            <w:tcW w:w="990" w:type="dxa"/>
            <w:noWrap/>
            <w:vAlign w:val="center"/>
            <w:hideMark/>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49.13</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100.00</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68.23</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55.87</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74.75</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lastRenderedPageBreak/>
              <w:t>50-27-1</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 xml:space="preserve">Estriol </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82.79</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61.64</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51.46</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65.30</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55.29</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38.66</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t>1478-61-1</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Bisphenol AF</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87.10</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48.82</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57.58</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64.50</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47.15</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57.06</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t>105624-86-0</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t>5HPP-33</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74.29</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54.74</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33.42</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62.54</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63.85</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t>100.00</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86.82</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t>131-55-5</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t>2</w:t>
            </w:r>
            <w:r>
              <w:t>,</w:t>
            </w:r>
            <w:r w:rsidRPr="00557FD4">
              <w:t>2'</w:t>
            </w:r>
            <w:r>
              <w:t>,</w:t>
            </w:r>
            <w:r w:rsidRPr="00557FD4">
              <w:t>4</w:t>
            </w:r>
            <w:r>
              <w:t>,</w:t>
            </w:r>
            <w:r w:rsidRPr="00557FD4">
              <w:t>4'-Tetrahydroxybenzophenone</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70.22</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68.57</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51.58</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63.46</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t>54.82</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b w:val="0"/>
              </w:rPr>
              <w:t>60.68</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2971-36-0</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rPr>
                <w:rFonts w:ascii="Calibri" w:hAnsi="Calibri"/>
              </w:rPr>
              <w:t>2</w:t>
            </w:r>
            <w:r>
              <w:rPr>
                <w:rFonts w:ascii="Calibri" w:hAnsi="Calibri"/>
              </w:rPr>
              <w:t>,</w:t>
            </w:r>
            <w:r w:rsidRPr="00557FD4">
              <w:rPr>
                <w:rFonts w:ascii="Calibri" w:hAnsi="Calibri"/>
              </w:rPr>
              <w:t>2-Bis(4-hydroxyphenyl)-1</w:t>
            </w:r>
            <w:r>
              <w:rPr>
                <w:rFonts w:ascii="Calibri" w:hAnsi="Calibri"/>
              </w:rPr>
              <w:t>,</w:t>
            </w:r>
            <w:r w:rsidRPr="00557FD4">
              <w:rPr>
                <w:rFonts w:ascii="Calibri" w:hAnsi="Calibri"/>
              </w:rPr>
              <w:t>1</w:t>
            </w:r>
            <w:r>
              <w:rPr>
                <w:rFonts w:ascii="Calibri" w:hAnsi="Calibri"/>
              </w:rPr>
              <w:t>,</w:t>
            </w:r>
            <w:r w:rsidRPr="00557FD4">
              <w:rPr>
                <w:rFonts w:ascii="Calibri" w:hAnsi="Calibri"/>
              </w:rPr>
              <w:t>1-trichloroethane (HPTE)</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37.12</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82.06</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57.07</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58.75</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85.53</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59.80</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77-40-7</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rPr>
                <w:rFonts w:ascii="Calibri" w:hAnsi="Calibri"/>
              </w:rPr>
              <w:t>Bisphenol B</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37.47</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79.78</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48.13</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55.13</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41.53</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55.96</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80-05-7</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rPr>
                <w:rFonts w:ascii="Calibri" w:hAnsi="Calibri"/>
              </w:rPr>
              <w:t>Bisphenol A</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39.85</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66.99</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49.88</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52.24</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32.15</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43.76</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84852-15-3</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4-Nonylphenol branched</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62.69</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38.21</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52.07</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50.99</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56.91</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60.40</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129453-61-8</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rPr>
                <w:rFonts w:ascii="Calibri" w:hAnsi="Calibri"/>
              </w:rPr>
              <w:t>Fulvestrant</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100.00</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17.97</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50.00</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5.77</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5.67</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94-18-8</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rPr>
                <w:rFonts w:ascii="Calibri" w:hAnsi="Calibri"/>
              </w:rPr>
              <w:t>Benzylparaben</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36.27</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70.54</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40.07</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48.96</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35.37</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44.06</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10161-33-8</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rPr>
                <w:rFonts w:ascii="Calibri" w:hAnsi="Calibri"/>
              </w:rPr>
              <w:t>17beta-Trenbolone</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46.17</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54.59</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44.21</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48.32</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28.14</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68-22-4</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rPr>
                <w:rFonts w:ascii="Calibri" w:hAnsi="Calibri"/>
              </w:rPr>
              <w:t>Norethindrone</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47.11</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56.58</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40.52</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48.07</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20.24</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18.43</w:t>
            </w:r>
          </w:p>
        </w:tc>
      </w:tr>
      <w:tr w:rsidR="0063159A" w:rsidRPr="00557FD4" w:rsidTr="006315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27955-94-8</w:t>
            </w:r>
          </w:p>
        </w:tc>
        <w:tc>
          <w:tcPr>
            <w:tcW w:w="3852" w:type="dxa"/>
            <w:noWrap/>
            <w:vAlign w:val="center"/>
          </w:tcPr>
          <w:p w:rsidR="0063159A" w:rsidRPr="00557FD4" w:rsidRDefault="0063159A" w:rsidP="0063159A">
            <w:pPr>
              <w:jc w:val="left"/>
              <w:cnfStyle w:val="000000100000" w:firstRow="0" w:lastRow="0" w:firstColumn="0" w:lastColumn="0" w:oddVBand="0" w:evenVBand="0" w:oddHBand="1" w:evenHBand="0" w:firstRowFirstColumn="0" w:firstRowLastColumn="0" w:lastRowFirstColumn="0" w:lastRowLastColumn="0"/>
            </w:pPr>
            <w:r w:rsidRPr="00557FD4">
              <w:rPr>
                <w:rFonts w:ascii="Calibri" w:hAnsi="Calibri"/>
              </w:rPr>
              <w:t>4</w:t>
            </w:r>
            <w:r>
              <w:rPr>
                <w:rFonts w:ascii="Calibri" w:hAnsi="Calibri"/>
              </w:rPr>
              <w:t>,</w:t>
            </w:r>
            <w:r w:rsidRPr="00557FD4">
              <w:rPr>
                <w:rFonts w:ascii="Calibri" w:hAnsi="Calibri"/>
              </w:rPr>
              <w:t>4’</w:t>
            </w:r>
            <w:r>
              <w:rPr>
                <w:rFonts w:ascii="Calibri" w:hAnsi="Calibri"/>
              </w:rPr>
              <w:t>,</w:t>
            </w:r>
            <w:r w:rsidRPr="00557FD4">
              <w:rPr>
                <w:rFonts w:ascii="Calibri" w:hAnsi="Calibri"/>
              </w:rPr>
              <w:t>4"-Ethane-111-triyltriphenol</w:t>
            </w:r>
          </w:p>
        </w:tc>
        <w:tc>
          <w:tcPr>
            <w:tcW w:w="162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19.84</w:t>
            </w:r>
          </w:p>
        </w:tc>
        <w:tc>
          <w:tcPr>
            <w:tcW w:w="990" w:type="dxa"/>
            <w:noWrap/>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0.00</w:t>
            </w:r>
          </w:p>
        </w:tc>
        <w:tc>
          <w:tcPr>
            <w:tcW w:w="135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59.25</w:t>
            </w:r>
          </w:p>
        </w:tc>
        <w:tc>
          <w:tcPr>
            <w:tcW w:w="99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52.75</w:t>
            </w:r>
          </w:p>
        </w:tc>
        <w:tc>
          <w:tcPr>
            <w:tcW w:w="144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43.95</w:t>
            </w:r>
          </w:p>
        </w:tc>
        <w:tc>
          <w:tcPr>
            <w:tcW w:w="1530" w:type="dxa"/>
            <w:vAlign w:val="center"/>
          </w:tcPr>
          <w:p w:rsidR="0063159A" w:rsidRPr="00557FD4" w:rsidRDefault="0063159A" w:rsidP="0063159A">
            <w:pPr>
              <w:jc w:val="center"/>
              <w:cnfStyle w:val="000000100000" w:firstRow="0" w:lastRow="0" w:firstColumn="0" w:lastColumn="0" w:oddVBand="0" w:evenVBand="0" w:oddHBand="1" w:evenHBand="0" w:firstRowFirstColumn="0" w:firstRowLastColumn="0" w:lastRowFirstColumn="0" w:lastRowLastColumn="0"/>
            </w:pPr>
            <w:r w:rsidRPr="00557FD4">
              <w:rPr>
                <w:rFonts w:ascii="Calibri" w:hAnsi="Calibri"/>
              </w:rPr>
              <w:t>54.89</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56.42</w:t>
            </w:r>
          </w:p>
        </w:tc>
      </w:tr>
      <w:tr w:rsidR="0063159A" w:rsidRPr="00557FD4" w:rsidTr="0063159A">
        <w:trPr>
          <w:trHeight w:val="20"/>
        </w:trPr>
        <w:tc>
          <w:tcPr>
            <w:cnfStyle w:val="001000000000" w:firstRow="0" w:lastRow="0" w:firstColumn="1" w:lastColumn="0" w:oddVBand="0" w:evenVBand="0" w:oddHBand="0" w:evenHBand="0" w:firstRowFirstColumn="0" w:firstRowLastColumn="0" w:lastRowFirstColumn="0" w:lastRowLastColumn="0"/>
            <w:tcW w:w="1368" w:type="dxa"/>
            <w:noWrap/>
            <w:vAlign w:val="center"/>
          </w:tcPr>
          <w:p w:rsidR="0063159A" w:rsidRPr="00557FD4" w:rsidRDefault="0063159A" w:rsidP="0063159A">
            <w:pPr>
              <w:jc w:val="center"/>
            </w:pPr>
            <w:r w:rsidRPr="00557FD4">
              <w:rPr>
                <w:rFonts w:ascii="Calibri" w:hAnsi="Calibri"/>
              </w:rPr>
              <w:t>76-87-9</w:t>
            </w:r>
          </w:p>
        </w:tc>
        <w:tc>
          <w:tcPr>
            <w:tcW w:w="3852" w:type="dxa"/>
            <w:noWrap/>
            <w:vAlign w:val="center"/>
          </w:tcPr>
          <w:p w:rsidR="0063159A" w:rsidRPr="00557FD4" w:rsidRDefault="0063159A" w:rsidP="0063159A">
            <w:pPr>
              <w:jc w:val="left"/>
              <w:cnfStyle w:val="000000000000" w:firstRow="0" w:lastRow="0" w:firstColumn="0" w:lastColumn="0" w:oddVBand="0" w:evenVBand="0" w:oddHBand="0" w:evenHBand="0" w:firstRowFirstColumn="0" w:firstRowLastColumn="0" w:lastRowFirstColumn="0" w:lastRowLastColumn="0"/>
            </w:pPr>
            <w:r w:rsidRPr="00557FD4">
              <w:rPr>
                <w:rFonts w:ascii="Calibri" w:hAnsi="Calibri"/>
              </w:rPr>
              <w:t>Triphenyltin hydroxide</w:t>
            </w:r>
          </w:p>
        </w:tc>
        <w:tc>
          <w:tcPr>
            <w:tcW w:w="162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990" w:type="dxa"/>
            <w:noWrap/>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87.54</w:t>
            </w:r>
          </w:p>
        </w:tc>
        <w:tc>
          <w:tcPr>
            <w:tcW w:w="135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99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0.00</w:t>
            </w:r>
          </w:p>
        </w:tc>
        <w:tc>
          <w:tcPr>
            <w:tcW w:w="144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43.77</w:t>
            </w:r>
          </w:p>
        </w:tc>
        <w:tc>
          <w:tcPr>
            <w:tcW w:w="1530" w:type="dxa"/>
            <w:vAlign w:val="center"/>
          </w:tcPr>
          <w:p w:rsidR="0063159A" w:rsidRPr="00557FD4" w:rsidRDefault="0063159A" w:rsidP="0063159A">
            <w:pPr>
              <w:jc w:val="center"/>
              <w:cnfStyle w:val="000000000000" w:firstRow="0" w:lastRow="0" w:firstColumn="0" w:lastColumn="0" w:oddVBand="0" w:evenVBand="0" w:oddHBand="0" w:evenHBand="0" w:firstRowFirstColumn="0" w:firstRowLastColumn="0" w:lastRowFirstColumn="0" w:lastRowLastColumn="0"/>
            </w:pPr>
            <w:r w:rsidRPr="00557FD4">
              <w:rPr>
                <w:rFonts w:ascii="Calibri" w:hAnsi="Calibri"/>
              </w:rPr>
              <w:t>NA</w:t>
            </w:r>
          </w:p>
        </w:tc>
        <w:tc>
          <w:tcPr>
            <w:cnfStyle w:val="000100000000" w:firstRow="0" w:lastRow="0" w:firstColumn="0" w:lastColumn="1" w:oddVBand="0" w:evenVBand="0" w:oddHBand="0" w:evenHBand="0" w:firstRowFirstColumn="0" w:firstRowLastColumn="0" w:lastRowFirstColumn="0" w:lastRowLastColumn="0"/>
            <w:tcW w:w="1530" w:type="dxa"/>
            <w:vAlign w:val="center"/>
          </w:tcPr>
          <w:p w:rsidR="0063159A" w:rsidRPr="00557FD4" w:rsidRDefault="0063159A" w:rsidP="0063159A">
            <w:pPr>
              <w:jc w:val="center"/>
              <w:rPr>
                <w:b w:val="0"/>
              </w:rPr>
            </w:pPr>
            <w:r w:rsidRPr="00557FD4">
              <w:rPr>
                <w:rFonts w:ascii="Calibri" w:hAnsi="Calibri"/>
                <w:b w:val="0"/>
              </w:rPr>
              <w:t>NA</w:t>
            </w:r>
          </w:p>
        </w:tc>
      </w:tr>
    </w:tbl>
    <w:p w:rsidR="00602DED" w:rsidRDefault="0063159A" w:rsidP="0063159A">
      <w:pPr>
        <w:pStyle w:val="FETableFootnote"/>
      </w:pPr>
      <w:r w:rsidRPr="00557FD4">
        <w:rPr>
          <w:vertAlign w:val="superscript"/>
        </w:rPr>
        <w:t>a</w:t>
      </w:r>
      <w:r w:rsidRPr="00557FD4">
        <w:t xml:space="preserve">Tested at concentrations up to 3.8µM; </w:t>
      </w:r>
      <w:r w:rsidRPr="00557FD4">
        <w:rPr>
          <w:vertAlign w:val="superscript"/>
        </w:rPr>
        <w:t>b</w:t>
      </w:r>
      <w:r w:rsidRPr="00557FD4">
        <w:t>Tested at concentrations up to 200µM</w:t>
      </w:r>
    </w:p>
    <w:p w:rsidR="0063159A" w:rsidRDefault="0063159A" w:rsidP="00C10EE0">
      <w:pPr>
        <w:pStyle w:val="VDTableTitle"/>
        <w:spacing w:after="240"/>
        <w:jc w:val="left"/>
      </w:pPr>
    </w:p>
    <w:p w:rsidR="0063159A" w:rsidRPr="0063159A" w:rsidRDefault="0063159A" w:rsidP="0063159A">
      <w:pPr>
        <w:sectPr w:rsidR="0063159A" w:rsidRPr="0063159A" w:rsidSect="0063159A">
          <w:pgSz w:w="15840" w:h="12240" w:orient="landscape"/>
          <w:pgMar w:top="1440" w:right="1440" w:bottom="1440" w:left="1440" w:header="0" w:footer="0" w:gutter="0"/>
          <w:cols w:space="475"/>
          <w:docGrid w:linePitch="326"/>
        </w:sectPr>
      </w:pPr>
    </w:p>
    <w:p w:rsidR="00602DED" w:rsidRDefault="00602DED" w:rsidP="00C10EE0">
      <w:pPr>
        <w:pStyle w:val="VDTableTitle"/>
        <w:spacing w:after="240"/>
        <w:jc w:val="left"/>
      </w:pPr>
    </w:p>
    <w:p w:rsidR="0063159A" w:rsidRDefault="0063159A" w:rsidP="0063159A"/>
    <w:p w:rsidR="00DD6DBB" w:rsidRDefault="00C10EE0" w:rsidP="000B5610">
      <w:pPr>
        <w:pStyle w:val="TESupportingInformation"/>
        <w:spacing w:after="240"/>
        <w:ind w:firstLine="0"/>
        <w:jc w:val="left"/>
      </w:pPr>
      <w:r>
        <w:t>ASSOCIATED CONTENT</w:t>
      </w:r>
    </w:p>
    <w:p w:rsidR="00C10EE0" w:rsidRPr="00A9455E" w:rsidRDefault="00C10EE0" w:rsidP="000B5610">
      <w:pPr>
        <w:pStyle w:val="TESupportingInformation"/>
        <w:spacing w:after="240"/>
        <w:ind w:firstLine="0"/>
        <w:jc w:val="left"/>
      </w:pPr>
      <w:r w:rsidRPr="00157E12">
        <w:rPr>
          <w:b/>
        </w:rPr>
        <w:t>Supporting Information</w:t>
      </w:r>
      <w:r>
        <w:t xml:space="preserve">. </w:t>
      </w:r>
      <w:r w:rsidR="00200280" w:rsidRPr="007772B1">
        <w:t xml:space="preserve">Figure S1 illustrates the impact of the linear transformation on the distributions of model R2 values. Figure S2 is the hierarchical clustering of composite scores. Figure S3 is the volcano plot of the </w:t>
      </w:r>
      <w:r w:rsidR="00200280" w:rsidRPr="00A9455E">
        <w:t xml:space="preserve">observed spectrum of ERα and ERβ activity. Figure S4 is the volcano plot of the ER Interaction Score compared with available uterotrophic data. Figure S5 demonstrates the stability of the CSagonist after removing a single assay from the model. Figure S6 is the hierarchical clustering of all of the in vitro </w:t>
      </w:r>
      <w:r w:rsidR="00200280" w:rsidRPr="00093A11">
        <w:t>AC50 data. Figure S7 is the comparison of individual assay AC50 data with ER Interaction Scores. Table S1 is the ER reference ch</w:t>
      </w:r>
      <w:r w:rsidR="00200280" w:rsidRPr="00D34C94">
        <w:t>emical cla</w:t>
      </w:r>
      <w:r w:rsidR="00200280" w:rsidRPr="00783853">
        <w:t xml:space="preserve">ssifications. File S1 is a PDF of the file </w:t>
      </w:r>
      <w:r w:rsidR="00200280" w:rsidRPr="003312F9">
        <w:t>containing</w:t>
      </w:r>
      <w:r w:rsidR="00200280" w:rsidRPr="007772B1">
        <w:t xml:space="preserve"> all the CSbinding plots. File S2 is a </w:t>
      </w:r>
      <w:r w:rsidR="0064438D" w:rsidRPr="007772B1">
        <w:t>CSV file containing all of the output parameters from the CSbinding models.</w:t>
      </w:r>
      <w:r w:rsidR="0064438D" w:rsidRPr="00A9455E">
        <w:t xml:space="preserve"> File S3 is a PDF of the file containing all the CSagonist</w:t>
      </w:r>
      <w:r w:rsidR="0064438D" w:rsidRPr="00093A11">
        <w:t xml:space="preserve"> plots. File S</w:t>
      </w:r>
      <w:r w:rsidR="0064438D" w:rsidRPr="00D34C94">
        <w:t>4 is a CSV file containing all of the output parameters from the CS</w:t>
      </w:r>
      <w:r w:rsidR="0064438D" w:rsidRPr="00A9455E">
        <w:t>agonist</w:t>
      </w:r>
      <w:r w:rsidR="0064438D" w:rsidRPr="00093A11">
        <w:t xml:space="preserve"> models. File S</w:t>
      </w:r>
      <w:r w:rsidR="0064438D" w:rsidRPr="00D34C94">
        <w:t>5 is a PDF of the file containing all the CS</w:t>
      </w:r>
      <w:r w:rsidR="0064438D" w:rsidRPr="00A9455E">
        <w:t>antagonist</w:t>
      </w:r>
      <w:r w:rsidR="0064438D" w:rsidRPr="00093A11">
        <w:t xml:space="preserve"> plots. File S</w:t>
      </w:r>
      <w:r w:rsidR="0064438D" w:rsidRPr="00D34C94">
        <w:t>6 is a CSV file containing all of the output parameters from the CS</w:t>
      </w:r>
      <w:r w:rsidR="0064438D" w:rsidRPr="00A9455E">
        <w:t>antagonist</w:t>
      </w:r>
      <w:r w:rsidR="0064438D" w:rsidRPr="00093A11">
        <w:t xml:space="preserve"> models. File S</w:t>
      </w:r>
      <w:r w:rsidR="0064438D" w:rsidRPr="00D34C94">
        <w:t>7 is a PDF of the file containing all the CS</w:t>
      </w:r>
      <w:r w:rsidR="0064438D" w:rsidRPr="00A9455E">
        <w:t>growth</w:t>
      </w:r>
      <w:r w:rsidR="0064438D" w:rsidRPr="00093A11">
        <w:t xml:space="preserve"> plots. File S</w:t>
      </w:r>
      <w:r w:rsidR="0064438D" w:rsidRPr="00D34C94">
        <w:t>8 is a CSV file containing all of the output parameters from the CS</w:t>
      </w:r>
      <w:r w:rsidR="0064438D" w:rsidRPr="00A9455E">
        <w:t>growth</w:t>
      </w:r>
      <w:r w:rsidR="0064438D" w:rsidRPr="00093A11">
        <w:t xml:space="preserve"> models. File S</w:t>
      </w:r>
      <w:r w:rsidR="0064438D" w:rsidRPr="00D34C94">
        <w:t xml:space="preserve">9 is a CSV file containing </w:t>
      </w:r>
      <w:r w:rsidR="0064438D" w:rsidRPr="00783853">
        <w:t>summaries of the CS</w:t>
      </w:r>
      <w:r w:rsidR="0064438D" w:rsidRPr="003312F9">
        <w:t>binding,</w:t>
      </w:r>
      <w:r w:rsidR="0064438D" w:rsidRPr="007772B1">
        <w:t xml:space="preserve"> CSagonist, CSantagonist, CSgrowth, and ER Interaction Scores. </w:t>
      </w:r>
      <w:r w:rsidRPr="007772B1">
        <w:t>This material is available free of charge via the Internet at http://pubs.acs.org.</w:t>
      </w:r>
    </w:p>
    <w:p w:rsidR="00DD6DBB" w:rsidRDefault="00DD6DBB" w:rsidP="00DD6DBB">
      <w:pPr>
        <w:pStyle w:val="FACorrespondingAuthorFootnote"/>
        <w:spacing w:after="0"/>
        <w:jc w:val="left"/>
      </w:pPr>
      <w:r>
        <w:t>AUTHOR INFORMATION</w:t>
      </w:r>
    </w:p>
    <w:p w:rsidR="00DD6DBB" w:rsidRPr="00DD6DBB" w:rsidRDefault="00DD6DBB" w:rsidP="00DD6DBB">
      <w:pPr>
        <w:pStyle w:val="FACorrespondingAuthorFootnote"/>
        <w:spacing w:after="0"/>
        <w:jc w:val="left"/>
        <w:rPr>
          <w:b/>
        </w:rPr>
      </w:pPr>
      <w:r w:rsidRPr="00DD6DBB">
        <w:rPr>
          <w:b/>
        </w:rPr>
        <w:t>Corresponding Author</w:t>
      </w:r>
    </w:p>
    <w:p w:rsidR="0064438D" w:rsidRPr="00840534" w:rsidRDefault="0064438D" w:rsidP="0064438D">
      <w:pPr>
        <w:spacing w:after="0"/>
        <w:rPr>
          <w:rFonts w:ascii="Times New Roman" w:eastAsia="Batang" w:hAnsi="Times New Roman"/>
          <w:szCs w:val="24"/>
        </w:rPr>
      </w:pPr>
      <w:r>
        <w:rPr>
          <w:rFonts w:ascii="Times New Roman" w:eastAsia="Batang" w:hAnsi="Times New Roman"/>
          <w:szCs w:val="24"/>
        </w:rPr>
        <w:t>*</w:t>
      </w:r>
      <w:r w:rsidRPr="00840534">
        <w:rPr>
          <w:rFonts w:ascii="Times New Roman" w:eastAsia="Batang" w:hAnsi="Times New Roman"/>
          <w:szCs w:val="24"/>
        </w:rPr>
        <w:t>Richard S. Judson Ph.D.</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t>National Center for Computational Toxicology</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lastRenderedPageBreak/>
        <w:t>Office of Research and Development</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t>U.S. Environmental Protection Agency</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t>109 T.W. Alexander Drive (B205-01)</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t>Research Triangle Park, NC 27711</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t>Phone: (919) 541-3085</w:t>
      </w:r>
    </w:p>
    <w:p w:rsidR="0064438D" w:rsidRPr="00840534" w:rsidRDefault="0064438D" w:rsidP="0064438D">
      <w:pPr>
        <w:spacing w:after="0"/>
        <w:rPr>
          <w:rFonts w:ascii="Times New Roman" w:eastAsia="Batang" w:hAnsi="Times New Roman"/>
          <w:szCs w:val="24"/>
        </w:rPr>
      </w:pPr>
      <w:r w:rsidRPr="00840534">
        <w:rPr>
          <w:rFonts w:ascii="Times New Roman" w:eastAsia="Batang" w:hAnsi="Times New Roman"/>
          <w:szCs w:val="24"/>
        </w:rPr>
        <w:t>Fax: (919) 541-3513</w:t>
      </w:r>
    </w:p>
    <w:p w:rsidR="0064438D" w:rsidRPr="00840534" w:rsidRDefault="0064438D" w:rsidP="0064438D">
      <w:pPr>
        <w:spacing w:after="0" w:line="480" w:lineRule="auto"/>
        <w:rPr>
          <w:rFonts w:ascii="Times New Roman" w:eastAsia="Batang" w:hAnsi="Times New Roman"/>
          <w:szCs w:val="24"/>
        </w:rPr>
      </w:pPr>
      <w:r w:rsidRPr="00840534">
        <w:rPr>
          <w:rFonts w:ascii="Times New Roman" w:eastAsia="Batang" w:hAnsi="Times New Roman"/>
          <w:szCs w:val="24"/>
        </w:rPr>
        <w:t xml:space="preserve">Email: </w:t>
      </w:r>
      <w:hyperlink r:id="rId17" w:history="1">
        <w:r w:rsidRPr="00840534">
          <w:rPr>
            <w:rFonts w:ascii="Times New Roman" w:eastAsia="Batang" w:hAnsi="Times New Roman"/>
            <w:color w:val="0000FF"/>
            <w:szCs w:val="24"/>
            <w:u w:val="single"/>
          </w:rPr>
          <w:t>judson.richard@epa.gov</w:t>
        </w:r>
      </w:hyperlink>
    </w:p>
    <w:p w:rsidR="00C10EE0" w:rsidRPr="00DD6DBB" w:rsidRDefault="00C10EE0" w:rsidP="00DD6DBB">
      <w:pPr>
        <w:pStyle w:val="FAAuthorInfoSubtitle"/>
      </w:pPr>
      <w:r w:rsidRPr="00DD6DBB">
        <w:t>Present Addresses</w:t>
      </w:r>
    </w:p>
    <w:p w:rsidR="00C10EE0" w:rsidRPr="00DD6DBB" w:rsidRDefault="00650E86" w:rsidP="00DD6DBB">
      <w:pPr>
        <w:pStyle w:val="StyleFACorrespondingAuthorFootnote7pt"/>
        <w:spacing w:after="240" w:line="480" w:lineRule="auto"/>
        <w:rPr>
          <w:rFonts w:ascii="Times" w:hAnsi="Times"/>
          <w:kern w:val="0"/>
          <w:sz w:val="24"/>
        </w:rPr>
      </w:pPr>
      <w:r>
        <w:rPr>
          <w:rFonts w:ascii="Times" w:hAnsi="Times"/>
          <w:kern w:val="0"/>
          <w:sz w:val="24"/>
        </w:rPr>
        <w:t># Bioinformatics Research Center, North Carolina State University, Raleigh NC 27695</w:t>
      </w:r>
    </w:p>
    <w:p w:rsidR="00DD6DBB" w:rsidRPr="00DD6DBB" w:rsidRDefault="00C10EE0" w:rsidP="00DD6DBB">
      <w:pPr>
        <w:pStyle w:val="FAAuthorInfoSubtitle"/>
      </w:pPr>
      <w:r w:rsidRPr="00DD6DBB">
        <w:t>Notes</w:t>
      </w:r>
    </w:p>
    <w:p w:rsidR="00650E86" w:rsidRDefault="00650E86" w:rsidP="00DD6DBB">
      <w:pPr>
        <w:rPr>
          <w:rFonts w:ascii="Times New Roman" w:hAnsi="Times New Roman"/>
          <w:color w:val="000000"/>
          <w:szCs w:val="24"/>
        </w:rPr>
      </w:pPr>
      <w:r w:rsidRPr="00840534">
        <w:rPr>
          <w:rFonts w:ascii="Times New Roman" w:hAnsi="Times New Roman"/>
          <w:color w:val="000000"/>
          <w:szCs w:val="24"/>
        </w:rPr>
        <w:t>The views expressed in this article are those of the authors and do not necessarily reflect the views of policies of the U.S. Environmental Protection Agency. Mention of trade names or commercial products does not constitute endorsement or recommendation for use</w:t>
      </w:r>
      <w:r w:rsidR="00A56EA3">
        <w:rPr>
          <w:rFonts w:ascii="Times New Roman" w:hAnsi="Times New Roman"/>
          <w:color w:val="000000"/>
          <w:szCs w:val="24"/>
        </w:rPr>
        <w:t>.</w:t>
      </w:r>
    </w:p>
    <w:p w:rsidR="00650E86" w:rsidRDefault="00650E86" w:rsidP="00DD6DBB">
      <w:pPr>
        <w:rPr>
          <w:rFonts w:ascii="Times New Roman" w:hAnsi="Times New Roman"/>
          <w:color w:val="000000"/>
          <w:szCs w:val="24"/>
        </w:rPr>
      </w:pPr>
    </w:p>
    <w:p w:rsidR="00DD6DBB" w:rsidRDefault="00DD6DBB" w:rsidP="000B5610">
      <w:pPr>
        <w:pStyle w:val="TFReferencesSection"/>
        <w:spacing w:after="0"/>
        <w:ind w:firstLine="0"/>
      </w:pPr>
      <w:r>
        <w:t>REFERENCES</w:t>
      </w:r>
    </w:p>
    <w:p w:rsidR="0077366F" w:rsidRPr="0077366F" w:rsidRDefault="00577CDC" w:rsidP="009230C5">
      <w:pPr>
        <w:pStyle w:val="TFReferencesSection"/>
        <w:spacing w:after="0" w:line="240" w:lineRule="auto"/>
      </w:pPr>
      <w:r w:rsidRPr="00302919">
        <w:rPr>
          <w:b/>
          <w:bCs/>
        </w:rPr>
        <w:fldChar w:fldCharType="begin"/>
      </w:r>
      <w:r w:rsidR="0077366F">
        <w:rPr>
          <w:b/>
          <w:bCs/>
        </w:rPr>
        <w:instrText xml:space="preserve"> ADDIN ZOTERO_BIBL {"custom":[]} CSL_BIBLIOGRAPHY </w:instrText>
      </w:r>
      <w:r w:rsidRPr="00302919">
        <w:rPr>
          <w:b/>
          <w:bCs/>
        </w:rPr>
        <w:fldChar w:fldCharType="separate"/>
      </w:r>
      <w:r w:rsidR="0077366F" w:rsidRPr="0077366F">
        <w:t xml:space="preserve">(1) </w:t>
      </w:r>
      <w:r w:rsidR="0077366F" w:rsidRPr="0077366F">
        <w:tab/>
        <w:t xml:space="preserve">Couse, J. F. Estrogen Receptor Null Mice: What Have We Learned and Where Will They Lead Us? </w:t>
      </w:r>
      <w:r w:rsidR="0077366F" w:rsidRPr="0077366F">
        <w:rPr>
          <w:i/>
          <w:iCs/>
        </w:rPr>
        <w:t>Endocr. Rev.</w:t>
      </w:r>
      <w:r w:rsidR="0077366F" w:rsidRPr="0077366F">
        <w:t xml:space="preserve"> </w:t>
      </w:r>
      <w:r w:rsidR="0077366F" w:rsidRPr="0077366F">
        <w:rPr>
          <w:b/>
          <w:bCs/>
        </w:rPr>
        <w:t>1999</w:t>
      </w:r>
      <w:r w:rsidR="0077366F" w:rsidRPr="0077366F">
        <w:t xml:space="preserve">, </w:t>
      </w:r>
      <w:r w:rsidR="0077366F" w:rsidRPr="0077366F">
        <w:rPr>
          <w:i/>
          <w:iCs/>
        </w:rPr>
        <w:t>20</w:t>
      </w:r>
      <w:r w:rsidR="0077366F" w:rsidRPr="0077366F">
        <w:t>, 358–417.</w:t>
      </w:r>
    </w:p>
    <w:p w:rsidR="0077366F" w:rsidRPr="0077366F" w:rsidRDefault="0077366F" w:rsidP="009230C5">
      <w:pPr>
        <w:pStyle w:val="TFReferencesSection"/>
        <w:spacing w:after="0" w:line="240" w:lineRule="auto"/>
      </w:pPr>
      <w:r w:rsidRPr="0077366F">
        <w:t xml:space="preserve">(2) </w:t>
      </w:r>
      <w:r w:rsidRPr="0077366F">
        <w:tab/>
        <w:t xml:space="preserve">Cui, J.; Shen, Y.; Li, R. Estrogen synthesis and signaling pathways during aging: from periphery to brain. </w:t>
      </w:r>
      <w:r w:rsidRPr="0077366F">
        <w:rPr>
          <w:i/>
          <w:iCs/>
        </w:rPr>
        <w:t>Trends Mol. Med.</w:t>
      </w:r>
      <w:r w:rsidRPr="0077366F">
        <w:t xml:space="preserve"> </w:t>
      </w:r>
      <w:r w:rsidRPr="0077366F">
        <w:rPr>
          <w:b/>
          <w:bCs/>
        </w:rPr>
        <w:t>2013</w:t>
      </w:r>
      <w:r w:rsidRPr="0077366F">
        <w:t xml:space="preserve">, </w:t>
      </w:r>
      <w:r w:rsidRPr="0077366F">
        <w:rPr>
          <w:i/>
          <w:iCs/>
        </w:rPr>
        <w:t>19</w:t>
      </w:r>
      <w:r w:rsidRPr="0077366F">
        <w:t>, 197–209.</w:t>
      </w:r>
    </w:p>
    <w:p w:rsidR="0077366F" w:rsidRPr="0077366F" w:rsidRDefault="0077366F" w:rsidP="009230C5">
      <w:pPr>
        <w:pStyle w:val="TFReferencesSection"/>
        <w:spacing w:after="0" w:line="240" w:lineRule="auto"/>
      </w:pPr>
      <w:r w:rsidRPr="0077366F">
        <w:t xml:space="preserve">(3) </w:t>
      </w:r>
      <w:r w:rsidRPr="0077366F">
        <w:tab/>
        <w:t xml:space="preserve">Birnbaum, L. S.; Fenton, S. E. Cancer and developmental exposure to endocrine disruptors. </w:t>
      </w:r>
      <w:r w:rsidRPr="0077366F">
        <w:rPr>
          <w:i/>
          <w:iCs/>
        </w:rPr>
        <w:t>Environ. Health Perspect.</w:t>
      </w:r>
      <w:r w:rsidRPr="0077366F">
        <w:t xml:space="preserve"> </w:t>
      </w:r>
      <w:r w:rsidRPr="0077366F">
        <w:rPr>
          <w:b/>
          <w:bCs/>
        </w:rPr>
        <w:t>2003</w:t>
      </w:r>
      <w:r w:rsidRPr="0077366F">
        <w:t xml:space="preserve">, </w:t>
      </w:r>
      <w:r w:rsidRPr="0077366F">
        <w:rPr>
          <w:i/>
          <w:iCs/>
        </w:rPr>
        <w:t>111</w:t>
      </w:r>
      <w:r w:rsidRPr="0077366F">
        <w:t>, 389.</w:t>
      </w:r>
    </w:p>
    <w:p w:rsidR="0077366F" w:rsidRPr="0077366F" w:rsidRDefault="0077366F" w:rsidP="009230C5">
      <w:pPr>
        <w:pStyle w:val="TFReferencesSection"/>
        <w:spacing w:after="0" w:line="240" w:lineRule="auto"/>
      </w:pPr>
      <w:r w:rsidRPr="0077366F">
        <w:t xml:space="preserve">(4) </w:t>
      </w:r>
      <w:r w:rsidRPr="0077366F">
        <w:tab/>
        <w:t xml:space="preserve">Soto, A. M.; Sonnenschein, C. Environmental causes of cancer: endocrine disruptors as carcinogens. </w:t>
      </w:r>
      <w:r w:rsidRPr="0077366F">
        <w:rPr>
          <w:i/>
          <w:iCs/>
        </w:rPr>
        <w:t>Nat. Rev. Endocrinol.</w:t>
      </w:r>
      <w:r w:rsidRPr="0077366F">
        <w:t xml:space="preserve"> </w:t>
      </w:r>
      <w:r w:rsidRPr="0077366F">
        <w:rPr>
          <w:b/>
          <w:bCs/>
        </w:rPr>
        <w:t>2010</w:t>
      </w:r>
      <w:r w:rsidRPr="0077366F">
        <w:t xml:space="preserve">, </w:t>
      </w:r>
      <w:r w:rsidRPr="0077366F">
        <w:rPr>
          <w:i/>
          <w:iCs/>
        </w:rPr>
        <w:t>6</w:t>
      </w:r>
      <w:r w:rsidRPr="0077366F">
        <w:t>, 363–370.</w:t>
      </w:r>
    </w:p>
    <w:p w:rsidR="0077366F" w:rsidRPr="0077366F" w:rsidRDefault="0077366F" w:rsidP="009230C5">
      <w:pPr>
        <w:pStyle w:val="TFReferencesSection"/>
        <w:spacing w:after="0" w:line="240" w:lineRule="auto"/>
      </w:pPr>
      <w:r w:rsidRPr="0077366F">
        <w:t xml:space="preserve">(5) </w:t>
      </w:r>
      <w:r w:rsidRPr="0077366F">
        <w:tab/>
        <w:t xml:space="preserve">Nelson, E. R.; Wardell, S. E.; McDonnell, D. P. The molecular mechanisms underlying the pharmacological actions of estrogens, SERMs and oxysterols: Implications for the treatment and prevention of osteoporosis. </w:t>
      </w:r>
      <w:r w:rsidRPr="0077366F">
        <w:rPr>
          <w:i/>
          <w:iCs/>
        </w:rPr>
        <w:t>Bone</w:t>
      </w:r>
      <w:r w:rsidRPr="0077366F">
        <w:t xml:space="preserve"> </w:t>
      </w:r>
      <w:r w:rsidRPr="0077366F">
        <w:rPr>
          <w:b/>
          <w:bCs/>
        </w:rPr>
        <w:t>2013</w:t>
      </w:r>
      <w:r w:rsidRPr="0077366F">
        <w:t xml:space="preserve">, </w:t>
      </w:r>
      <w:r w:rsidRPr="0077366F">
        <w:rPr>
          <w:i/>
          <w:iCs/>
        </w:rPr>
        <w:t>53</w:t>
      </w:r>
      <w:r w:rsidRPr="0077366F">
        <w:t>, 42–50.</w:t>
      </w:r>
    </w:p>
    <w:p w:rsidR="0077366F" w:rsidRPr="0077366F" w:rsidRDefault="0077366F" w:rsidP="009230C5">
      <w:pPr>
        <w:pStyle w:val="TFReferencesSection"/>
        <w:spacing w:after="0" w:line="240" w:lineRule="auto"/>
      </w:pPr>
      <w:r w:rsidRPr="0077366F">
        <w:t xml:space="preserve">(6) </w:t>
      </w:r>
      <w:r w:rsidRPr="0077366F">
        <w:tab/>
        <w:t xml:space="preserve">Cooper, R. L.; Kavlock, R. J. Endocrine disruptors and reproductive development: a weight-of-evidence overview. </w:t>
      </w:r>
      <w:r w:rsidRPr="0077366F">
        <w:rPr>
          <w:i/>
          <w:iCs/>
        </w:rPr>
        <w:t>J. Endocrinol.</w:t>
      </w:r>
      <w:r w:rsidRPr="0077366F">
        <w:t xml:space="preserve"> </w:t>
      </w:r>
      <w:r w:rsidRPr="0077366F">
        <w:rPr>
          <w:b/>
          <w:bCs/>
        </w:rPr>
        <w:t>1997</w:t>
      </w:r>
      <w:r w:rsidRPr="0077366F">
        <w:t xml:space="preserve">, </w:t>
      </w:r>
      <w:r w:rsidRPr="0077366F">
        <w:rPr>
          <w:i/>
          <w:iCs/>
        </w:rPr>
        <w:t>152</w:t>
      </w:r>
      <w:r w:rsidRPr="0077366F">
        <w:t>, 159–166.</w:t>
      </w:r>
    </w:p>
    <w:p w:rsidR="0077366F" w:rsidRPr="0077366F" w:rsidRDefault="0077366F" w:rsidP="009230C5">
      <w:pPr>
        <w:pStyle w:val="TFReferencesSection"/>
        <w:spacing w:after="0" w:line="240" w:lineRule="auto"/>
      </w:pPr>
      <w:r w:rsidRPr="0077366F">
        <w:t xml:space="preserve">(7) </w:t>
      </w:r>
      <w:r w:rsidRPr="0077366F">
        <w:tab/>
        <w:t xml:space="preserve">Bigsby, R.; Chapin, R. E.; Daston, G. P.; Davis, B. J.; Gorski, J.; Gray, L. E.; Howdeshell, K. L.; Zoeller, R. T.; vom Saal, F. S. Evaluating the effects of endocrine disruptors on endocrine function during development. </w:t>
      </w:r>
      <w:r w:rsidRPr="0077366F">
        <w:rPr>
          <w:i/>
          <w:iCs/>
        </w:rPr>
        <w:t>Environ. Health Perspect.</w:t>
      </w:r>
      <w:r w:rsidRPr="0077366F">
        <w:t xml:space="preserve"> </w:t>
      </w:r>
      <w:r w:rsidRPr="0077366F">
        <w:rPr>
          <w:b/>
          <w:bCs/>
        </w:rPr>
        <w:t>1999</w:t>
      </w:r>
      <w:r w:rsidRPr="0077366F">
        <w:t xml:space="preserve">, </w:t>
      </w:r>
      <w:r w:rsidRPr="0077366F">
        <w:rPr>
          <w:i/>
          <w:iCs/>
        </w:rPr>
        <w:t>107</w:t>
      </w:r>
      <w:r w:rsidRPr="0077366F">
        <w:t>, 613.</w:t>
      </w:r>
    </w:p>
    <w:p w:rsidR="0077366F" w:rsidRPr="0077366F" w:rsidRDefault="0077366F" w:rsidP="009230C5">
      <w:pPr>
        <w:pStyle w:val="TFReferencesSection"/>
        <w:spacing w:after="0" w:line="240" w:lineRule="auto"/>
      </w:pPr>
      <w:r w:rsidRPr="0077366F">
        <w:t xml:space="preserve">(8) </w:t>
      </w:r>
      <w:r w:rsidRPr="0077366F">
        <w:tab/>
        <w:t xml:space="preserve">Kavlock, R. J.; Daston, G. P.; DeRosa, C.; Fenner-Crisp, P.; Gray, L. E.; Kaattari, S.; Lucier, G.; Luster, M.; Mac, M. J.; Maczka, C. Research needs for the risk assessment of health and environmental effects of endocrine disruptors: a report of the US EPA-sponsored workshop. </w:t>
      </w:r>
      <w:r w:rsidRPr="0077366F">
        <w:rPr>
          <w:i/>
          <w:iCs/>
        </w:rPr>
        <w:t>Environ. Health Perspect.</w:t>
      </w:r>
      <w:r w:rsidRPr="0077366F">
        <w:t xml:space="preserve"> </w:t>
      </w:r>
      <w:r w:rsidRPr="0077366F">
        <w:rPr>
          <w:b/>
          <w:bCs/>
        </w:rPr>
        <w:t>1996</w:t>
      </w:r>
      <w:r w:rsidRPr="0077366F">
        <w:t xml:space="preserve">, </w:t>
      </w:r>
      <w:r w:rsidRPr="0077366F">
        <w:rPr>
          <w:i/>
          <w:iCs/>
        </w:rPr>
        <w:t>104</w:t>
      </w:r>
      <w:r w:rsidRPr="0077366F">
        <w:t>, 715.</w:t>
      </w:r>
    </w:p>
    <w:p w:rsidR="0077366F" w:rsidRPr="0077366F" w:rsidRDefault="0077366F" w:rsidP="009230C5">
      <w:pPr>
        <w:pStyle w:val="TFReferencesSection"/>
        <w:spacing w:after="0" w:line="240" w:lineRule="auto"/>
      </w:pPr>
      <w:r w:rsidRPr="0077366F">
        <w:t xml:space="preserve">(9) </w:t>
      </w:r>
      <w:r w:rsidRPr="0077366F">
        <w:tab/>
        <w:t xml:space="preserve">Mahoney, M. M.; Padmanabhan, V. Developmental programming: impact of fetal exposure to endocrine-disrupting chemicals on gonadotropin-releasing hormone and estrogen receptor mRNA in sheep hypothalamus. </w:t>
      </w:r>
      <w:r w:rsidRPr="0077366F">
        <w:rPr>
          <w:i/>
          <w:iCs/>
        </w:rPr>
        <w:t>Toxicol. Appl. Pharmacol.</w:t>
      </w:r>
      <w:r w:rsidRPr="0077366F">
        <w:t xml:space="preserve"> </w:t>
      </w:r>
      <w:r w:rsidRPr="0077366F">
        <w:rPr>
          <w:b/>
          <w:bCs/>
        </w:rPr>
        <w:t>2010</w:t>
      </w:r>
      <w:r w:rsidRPr="0077366F">
        <w:t xml:space="preserve">, </w:t>
      </w:r>
      <w:r w:rsidRPr="0077366F">
        <w:rPr>
          <w:i/>
          <w:iCs/>
        </w:rPr>
        <w:t>247</w:t>
      </w:r>
      <w:r w:rsidRPr="0077366F">
        <w:t>, 98–104.</w:t>
      </w:r>
    </w:p>
    <w:p w:rsidR="0077366F" w:rsidRPr="0077366F" w:rsidRDefault="0077366F" w:rsidP="009230C5">
      <w:pPr>
        <w:pStyle w:val="TFReferencesSection"/>
        <w:spacing w:after="0" w:line="240" w:lineRule="auto"/>
      </w:pPr>
      <w:r w:rsidRPr="0077366F">
        <w:lastRenderedPageBreak/>
        <w:t xml:space="preserve">(10) </w:t>
      </w:r>
      <w:r w:rsidRPr="0077366F">
        <w:tab/>
        <w:t>U.S. EPA. Endocrine Disruptor Screening Program: Universe of Chemicals and General Validation</w:t>
      </w:r>
      <w:r>
        <w:t xml:space="preserve"> </w:t>
      </w:r>
      <w:r w:rsidRPr="0077366F">
        <w:t>Principles, 2012.</w:t>
      </w:r>
      <w:r>
        <w:t xml:space="preserve"> </w:t>
      </w:r>
      <w:r w:rsidRPr="0077366F">
        <w:t>http://www.epa.gov/endo/pubs/edsp_chemical_universe_and_general_validations_white_paper_11_12.pdf</w:t>
      </w:r>
      <w:r>
        <w:t xml:space="preserve"> (Accessed June 16, 2014).</w:t>
      </w:r>
    </w:p>
    <w:p w:rsidR="0077366F" w:rsidRPr="0077366F" w:rsidRDefault="0077366F" w:rsidP="009230C5">
      <w:pPr>
        <w:pStyle w:val="TFReferencesSection"/>
        <w:spacing w:after="0" w:line="240" w:lineRule="auto"/>
      </w:pPr>
      <w:r w:rsidRPr="0077366F">
        <w:t xml:space="preserve">(11) </w:t>
      </w:r>
      <w:r w:rsidRPr="0077366F">
        <w:tab/>
        <w:t xml:space="preserve">Kolasa, A.; Wiszniewska, B.; Marchlewicz, M.; Wenda-Różewicka, L. Localisation of oestrogen receptors (ERalpha and ERbeta) in the human and rat epididymides. </w:t>
      </w:r>
      <w:r w:rsidRPr="0077366F">
        <w:rPr>
          <w:i/>
          <w:iCs/>
        </w:rPr>
        <w:t>Folia Morphol.</w:t>
      </w:r>
      <w:r w:rsidRPr="0077366F">
        <w:t xml:space="preserve"> </w:t>
      </w:r>
      <w:r w:rsidRPr="0077366F">
        <w:rPr>
          <w:b/>
          <w:bCs/>
        </w:rPr>
        <w:t>2003</w:t>
      </w:r>
      <w:r w:rsidRPr="0077366F">
        <w:t xml:space="preserve">, </w:t>
      </w:r>
      <w:r w:rsidRPr="0077366F">
        <w:rPr>
          <w:i/>
          <w:iCs/>
        </w:rPr>
        <w:t>62</w:t>
      </w:r>
      <w:r w:rsidRPr="0077366F">
        <w:t>, 467–466.</w:t>
      </w:r>
    </w:p>
    <w:p w:rsidR="0077366F" w:rsidRPr="0077366F" w:rsidRDefault="0077366F" w:rsidP="009230C5">
      <w:pPr>
        <w:pStyle w:val="TFReferencesSection"/>
        <w:spacing w:after="0" w:line="240" w:lineRule="auto"/>
      </w:pPr>
      <w:r w:rsidRPr="0077366F">
        <w:t xml:space="preserve">(12) </w:t>
      </w:r>
      <w:r w:rsidRPr="0077366F">
        <w:tab/>
        <w:t xml:space="preserve">Saunders, P. T.; Millar, M. R.; Macpherson, S.; Irvine, D. S.; Groome, N. P.; Evans, L. R.; Sharpe, R. M.; Scobie, G. A. ERβ1 and the ERβ2 splice variant (ERβcx/β2) are expressed in distinct cell populations in the adult human testis. </w:t>
      </w:r>
      <w:r w:rsidRPr="0077366F">
        <w:rPr>
          <w:i/>
          <w:iCs/>
        </w:rPr>
        <w:t>J. Clin. Endocrinol. Metab.</w:t>
      </w:r>
      <w:r w:rsidRPr="0077366F">
        <w:t xml:space="preserve"> </w:t>
      </w:r>
      <w:r w:rsidRPr="0077366F">
        <w:rPr>
          <w:b/>
          <w:bCs/>
        </w:rPr>
        <w:t>2002</w:t>
      </w:r>
      <w:r w:rsidRPr="0077366F">
        <w:t xml:space="preserve">, </w:t>
      </w:r>
      <w:r w:rsidRPr="0077366F">
        <w:rPr>
          <w:i/>
          <w:iCs/>
        </w:rPr>
        <w:t>87</w:t>
      </w:r>
      <w:r w:rsidRPr="0077366F">
        <w:t>, 2706–2715.</w:t>
      </w:r>
    </w:p>
    <w:p w:rsidR="0077366F" w:rsidRPr="0077366F" w:rsidRDefault="0077366F" w:rsidP="009230C5">
      <w:pPr>
        <w:pStyle w:val="TFReferencesSection"/>
        <w:spacing w:after="0" w:line="240" w:lineRule="auto"/>
      </w:pPr>
      <w:r w:rsidRPr="0077366F">
        <w:t xml:space="preserve">(13) </w:t>
      </w:r>
      <w:r w:rsidRPr="0077366F">
        <w:tab/>
        <w:t xml:space="preserve">Gustafsson, J. A. Estrogen receptor beta--a new dimension in estrogen mechanism of action. </w:t>
      </w:r>
      <w:r w:rsidRPr="0077366F">
        <w:rPr>
          <w:i/>
          <w:iCs/>
        </w:rPr>
        <w:t>J. Endocrinol.</w:t>
      </w:r>
      <w:r w:rsidRPr="0077366F">
        <w:t xml:space="preserve"> </w:t>
      </w:r>
      <w:r w:rsidRPr="0077366F">
        <w:rPr>
          <w:b/>
          <w:bCs/>
        </w:rPr>
        <w:t>1999</w:t>
      </w:r>
      <w:r w:rsidRPr="0077366F">
        <w:t xml:space="preserve">, </w:t>
      </w:r>
      <w:r w:rsidRPr="0077366F">
        <w:rPr>
          <w:i/>
          <w:iCs/>
        </w:rPr>
        <w:t>163</w:t>
      </w:r>
      <w:r w:rsidRPr="0077366F">
        <w:t>, 379–383.</w:t>
      </w:r>
    </w:p>
    <w:p w:rsidR="0077366F" w:rsidRPr="0077366F" w:rsidRDefault="0077366F" w:rsidP="009230C5">
      <w:pPr>
        <w:pStyle w:val="TFReferencesSection"/>
        <w:spacing w:after="0" w:line="240" w:lineRule="auto"/>
      </w:pPr>
      <w:r w:rsidRPr="0077366F">
        <w:t xml:space="preserve">(14) </w:t>
      </w:r>
      <w:r w:rsidRPr="0077366F">
        <w:tab/>
        <w:t xml:space="preserve">Pravettoni, A.; Mornati, O.; Martini, P. G. V.; Marino, M.; Colciago, A.; Celotti, F.; Motta, M.; Negri-Cesi, P. Estrogen receptor beta (ERbeta) and inhibition of prostate cancer cell proliferation: studies on the possible mechanism of action in DU145 cells. </w:t>
      </w:r>
      <w:r w:rsidRPr="0077366F">
        <w:rPr>
          <w:i/>
          <w:iCs/>
        </w:rPr>
        <w:t>Mol. Cell. Endocrinol.</w:t>
      </w:r>
      <w:r w:rsidRPr="0077366F">
        <w:t xml:space="preserve"> </w:t>
      </w:r>
      <w:r w:rsidRPr="0077366F">
        <w:rPr>
          <w:b/>
          <w:bCs/>
        </w:rPr>
        <w:t>2007</w:t>
      </w:r>
      <w:r w:rsidRPr="0077366F">
        <w:t xml:space="preserve">, </w:t>
      </w:r>
      <w:r w:rsidRPr="0077366F">
        <w:rPr>
          <w:i/>
          <w:iCs/>
        </w:rPr>
        <w:t>263</w:t>
      </w:r>
      <w:r w:rsidRPr="0077366F">
        <w:t>, 46–54.</w:t>
      </w:r>
    </w:p>
    <w:p w:rsidR="0077366F" w:rsidRPr="0077366F" w:rsidRDefault="0077366F" w:rsidP="009230C5">
      <w:pPr>
        <w:pStyle w:val="TFReferencesSection"/>
        <w:spacing w:after="0" w:line="240" w:lineRule="auto"/>
      </w:pPr>
      <w:r w:rsidRPr="0077366F">
        <w:t xml:space="preserve">(15) </w:t>
      </w:r>
      <w:r w:rsidRPr="0077366F">
        <w:tab/>
        <w:t xml:space="preserve">Kuiper, G.G.J.M.; Carlsson, B.; Grandien, K; Enmark, E.; Häggblad, J.; Nilsson, S.; Gustafsson, J.A. Comparison of the ligand binding specificity and transcript tissue distribution of estrogen receptors alpha and beta. </w:t>
      </w:r>
      <w:r w:rsidRPr="0077366F">
        <w:rPr>
          <w:i/>
          <w:iCs/>
        </w:rPr>
        <w:t>Endocrinology</w:t>
      </w:r>
      <w:r w:rsidRPr="0077366F">
        <w:t xml:space="preserve"> </w:t>
      </w:r>
      <w:r w:rsidRPr="0077366F">
        <w:rPr>
          <w:b/>
          <w:bCs/>
        </w:rPr>
        <w:t>1997</w:t>
      </w:r>
      <w:r w:rsidRPr="0077366F">
        <w:t xml:space="preserve">, </w:t>
      </w:r>
      <w:r w:rsidRPr="0077366F">
        <w:rPr>
          <w:i/>
          <w:iCs/>
        </w:rPr>
        <w:t>138</w:t>
      </w:r>
      <w:r w:rsidRPr="0077366F">
        <w:t>, 863–870.</w:t>
      </w:r>
    </w:p>
    <w:p w:rsidR="0077366F" w:rsidRPr="0077366F" w:rsidRDefault="0077366F" w:rsidP="009230C5">
      <w:pPr>
        <w:pStyle w:val="TFReferencesSection"/>
        <w:spacing w:after="0" w:line="240" w:lineRule="auto"/>
      </w:pPr>
      <w:r w:rsidRPr="0077366F">
        <w:t xml:space="preserve">(16) </w:t>
      </w:r>
      <w:r w:rsidRPr="0077366F">
        <w:tab/>
        <w:t xml:space="preserve">Dutertre, M.; Smith, C. L. Molecular mechanisms of selective estrogen receptor modulator (SERM) action. </w:t>
      </w:r>
      <w:r w:rsidRPr="0077366F">
        <w:rPr>
          <w:i/>
          <w:iCs/>
        </w:rPr>
        <w:t>J. Pharmacol. Exp. Ther.</w:t>
      </w:r>
      <w:r w:rsidRPr="0077366F">
        <w:t xml:space="preserve"> </w:t>
      </w:r>
      <w:r w:rsidRPr="0077366F">
        <w:rPr>
          <w:b/>
          <w:bCs/>
        </w:rPr>
        <w:t>2000</w:t>
      </w:r>
      <w:r w:rsidRPr="0077366F">
        <w:t xml:space="preserve">, </w:t>
      </w:r>
      <w:r w:rsidRPr="0077366F">
        <w:rPr>
          <w:i/>
          <w:iCs/>
        </w:rPr>
        <w:t>295</w:t>
      </w:r>
      <w:r w:rsidRPr="0077366F">
        <w:t>, 431–437.</w:t>
      </w:r>
    </w:p>
    <w:p w:rsidR="0077366F" w:rsidRPr="0077366F" w:rsidRDefault="0077366F" w:rsidP="009230C5">
      <w:pPr>
        <w:pStyle w:val="TFReferencesSection"/>
        <w:spacing w:after="0" w:line="240" w:lineRule="auto"/>
      </w:pPr>
      <w:r w:rsidRPr="0077366F">
        <w:t xml:space="preserve">(17) </w:t>
      </w:r>
      <w:r w:rsidRPr="0077366F">
        <w:tab/>
        <w:t xml:space="preserve">Rotroff, D. M.; Dix, D. J.; Houck, K. A.; Kavlock, R. J.; Knudsen, T. B.; Martin, M. T.; Reif, D. M.; Richard, A. M.; Sipes, N. S.; Abassi, Y. A.; et al. Real-Time Growth Kinetics Measuring Hormone Mimicry for ToxCast Chemicals in T-47D Human Ductal Carcinoma Cells. </w:t>
      </w:r>
      <w:r w:rsidRPr="0077366F">
        <w:rPr>
          <w:i/>
          <w:iCs/>
        </w:rPr>
        <w:t>Chem. Res. Toxicol.</w:t>
      </w:r>
      <w:r w:rsidRPr="0077366F">
        <w:t xml:space="preserve"> </w:t>
      </w:r>
      <w:r w:rsidRPr="0077366F">
        <w:rPr>
          <w:b/>
          <w:bCs/>
        </w:rPr>
        <w:t>2013</w:t>
      </w:r>
      <w:r w:rsidRPr="0077366F">
        <w:t xml:space="preserve">, </w:t>
      </w:r>
      <w:r w:rsidRPr="0077366F">
        <w:rPr>
          <w:i/>
          <w:iCs/>
        </w:rPr>
        <w:t>26</w:t>
      </w:r>
      <w:r w:rsidRPr="0077366F">
        <w:t>, 1097–1107.</w:t>
      </w:r>
    </w:p>
    <w:p w:rsidR="0077366F" w:rsidRPr="0077366F" w:rsidRDefault="0077366F" w:rsidP="009230C5">
      <w:pPr>
        <w:pStyle w:val="TFReferencesSection"/>
        <w:spacing w:after="0" w:line="240" w:lineRule="auto"/>
      </w:pPr>
      <w:r w:rsidRPr="0077366F">
        <w:t xml:space="preserve">(18) </w:t>
      </w:r>
      <w:r w:rsidRPr="0077366F">
        <w:tab/>
        <w:t xml:space="preserve">Maechler, M. sfsmisc: Utilities from Seminar fuer Statistik ETH Zurich. </w:t>
      </w:r>
      <w:r w:rsidRPr="0077366F">
        <w:rPr>
          <w:i/>
          <w:iCs/>
        </w:rPr>
        <w:t>R Package Version</w:t>
      </w:r>
      <w:r w:rsidRPr="0077366F">
        <w:t xml:space="preserve"> </w:t>
      </w:r>
      <w:r w:rsidRPr="0077366F">
        <w:rPr>
          <w:b/>
          <w:bCs/>
        </w:rPr>
        <w:t>2011</w:t>
      </w:r>
      <w:r w:rsidRPr="0077366F">
        <w:t>, 1.0–15.</w:t>
      </w:r>
      <w:r>
        <w:t xml:space="preserve"> </w:t>
      </w:r>
      <w:r w:rsidRPr="0077366F">
        <w:t>http://cran.r-project.org/web/packages/sfsmisc/index.html</w:t>
      </w:r>
      <w:r>
        <w:t xml:space="preserve"> (Accessed June 16, 2014).</w:t>
      </w:r>
    </w:p>
    <w:p w:rsidR="0077366F" w:rsidRPr="0077366F" w:rsidRDefault="0077366F" w:rsidP="009230C5">
      <w:pPr>
        <w:pStyle w:val="TFReferencesSection"/>
        <w:spacing w:after="0" w:line="240" w:lineRule="auto"/>
      </w:pPr>
      <w:r w:rsidRPr="0077366F">
        <w:t xml:space="preserve">(19) </w:t>
      </w:r>
      <w:r w:rsidRPr="0077366F">
        <w:tab/>
        <w:t>R Development Core Team. R: A language and environment for statistical computing. R Foundation for Statistical Computing, Vienna, Austria. ISBN 3-900051-07-0, URL http://www.R-project.org/., 2013.</w:t>
      </w:r>
    </w:p>
    <w:p w:rsidR="0077366F" w:rsidRPr="0077366F" w:rsidRDefault="0077366F" w:rsidP="009230C5">
      <w:pPr>
        <w:pStyle w:val="TFReferencesSection"/>
        <w:spacing w:after="0" w:line="240" w:lineRule="auto"/>
      </w:pPr>
      <w:r w:rsidRPr="0077366F">
        <w:t xml:space="preserve">(20) </w:t>
      </w:r>
      <w:r w:rsidRPr="0077366F">
        <w:tab/>
        <w:t>Raivo Kolde. pheatmap: Pretty Heatmaps. R package version 0.7.3.http://CRAN.R-project.org/package=pheatmap, 2012.</w:t>
      </w:r>
    </w:p>
    <w:p w:rsidR="0077366F" w:rsidRPr="0077366F" w:rsidRDefault="0077366F" w:rsidP="009230C5">
      <w:pPr>
        <w:pStyle w:val="TFReferencesSection"/>
        <w:spacing w:after="0" w:line="240" w:lineRule="auto"/>
      </w:pPr>
      <w:r w:rsidRPr="0077366F">
        <w:t xml:space="preserve">(21) </w:t>
      </w:r>
      <w:r w:rsidRPr="0077366F">
        <w:tab/>
        <w:t xml:space="preserve">Benjamini, Y.; Hochberg, Y. Controlling the false discovery rate: a practical and powerful approach to multiple testing. </w:t>
      </w:r>
      <w:r w:rsidRPr="0077366F">
        <w:rPr>
          <w:i/>
          <w:iCs/>
        </w:rPr>
        <w:t>J. R. Stat. Soc. Ser. B Methodol.</w:t>
      </w:r>
      <w:r w:rsidRPr="0077366F">
        <w:t xml:space="preserve"> </w:t>
      </w:r>
      <w:r w:rsidRPr="0077366F">
        <w:rPr>
          <w:b/>
          <w:bCs/>
        </w:rPr>
        <w:t>1995</w:t>
      </w:r>
      <w:r w:rsidRPr="0077366F">
        <w:t>, 289–300.</w:t>
      </w:r>
    </w:p>
    <w:p w:rsidR="0077366F" w:rsidRPr="0077366F" w:rsidRDefault="0077366F" w:rsidP="009230C5">
      <w:pPr>
        <w:pStyle w:val="TFReferencesSection"/>
        <w:spacing w:after="0" w:line="240" w:lineRule="auto"/>
      </w:pPr>
      <w:r w:rsidRPr="0077366F">
        <w:t xml:space="preserve">(22) </w:t>
      </w:r>
      <w:r w:rsidRPr="0077366F">
        <w:tab/>
        <w:t xml:space="preserve">Rotroff, D. M.; Dix, D. J.; Houck, K. A.; Knudsen, T. B.; Martin, M. T.; McLaurin, K. W.; Reif, D. M.; Crofton, K. M.; Singh, A. V.; Xia, M. Using in Vitro High Throughput Screening Assays to Identify Potential Endocrine-Disrupting Chemicals. </w:t>
      </w:r>
      <w:r w:rsidRPr="0077366F">
        <w:rPr>
          <w:i/>
          <w:iCs/>
        </w:rPr>
        <w:t>Environ. Health Perspect.</w:t>
      </w:r>
      <w:r w:rsidRPr="0077366F">
        <w:t xml:space="preserve"> </w:t>
      </w:r>
      <w:r w:rsidRPr="0077366F">
        <w:rPr>
          <w:b/>
          <w:bCs/>
        </w:rPr>
        <w:t>2013</w:t>
      </w:r>
      <w:r w:rsidRPr="0077366F">
        <w:t xml:space="preserve">, </w:t>
      </w:r>
      <w:r w:rsidRPr="0077366F">
        <w:rPr>
          <w:i/>
          <w:iCs/>
        </w:rPr>
        <w:t>121</w:t>
      </w:r>
      <w:r w:rsidRPr="0077366F">
        <w:t>, 7.</w:t>
      </w:r>
    </w:p>
    <w:p w:rsidR="0077366F" w:rsidRPr="0077366F" w:rsidRDefault="0077366F" w:rsidP="009230C5">
      <w:pPr>
        <w:pStyle w:val="TFReferencesSection"/>
        <w:spacing w:after="0" w:line="240" w:lineRule="auto"/>
      </w:pPr>
      <w:r w:rsidRPr="0077366F">
        <w:t xml:space="preserve">(23) </w:t>
      </w:r>
      <w:r w:rsidRPr="0077366F">
        <w:tab/>
        <w:t xml:space="preserve">Paech, K.; Webb, P.; Kuiper, G. G.; Nilsson, S.; Gustafsson, J.-\AAke; Kushner, P. J.; Scanlan, T. S. Differential ligand activation of estrogen receptors ERα and ERβ at AP1 sites. </w:t>
      </w:r>
      <w:r w:rsidRPr="0077366F">
        <w:rPr>
          <w:i/>
          <w:iCs/>
        </w:rPr>
        <w:t>Science</w:t>
      </w:r>
      <w:r w:rsidRPr="0077366F">
        <w:t xml:space="preserve"> </w:t>
      </w:r>
      <w:r w:rsidRPr="0077366F">
        <w:rPr>
          <w:b/>
          <w:bCs/>
        </w:rPr>
        <w:t>1997</w:t>
      </w:r>
      <w:r w:rsidRPr="0077366F">
        <w:t xml:space="preserve">, </w:t>
      </w:r>
      <w:r w:rsidRPr="0077366F">
        <w:rPr>
          <w:i/>
          <w:iCs/>
        </w:rPr>
        <w:t>277</w:t>
      </w:r>
      <w:r w:rsidRPr="0077366F">
        <w:t>, 1508–1510.</w:t>
      </w:r>
    </w:p>
    <w:p w:rsidR="0077366F" w:rsidRPr="0077366F" w:rsidRDefault="0077366F" w:rsidP="009230C5">
      <w:pPr>
        <w:pStyle w:val="TFReferencesSection"/>
        <w:spacing w:after="0" w:line="240" w:lineRule="auto"/>
      </w:pPr>
      <w:r w:rsidRPr="0077366F">
        <w:t xml:space="preserve">(24) </w:t>
      </w:r>
      <w:r w:rsidRPr="0077366F">
        <w:tab/>
        <w:t xml:space="preserve">U.S. National Toxicology Program. ICCVAM Evaluation of In Vitro Test Methods for Detecting Potential Endocrine Disruptors: Estrogen Receptor and Androgen Receptor Binding </w:t>
      </w:r>
      <w:r w:rsidRPr="0077366F">
        <w:lastRenderedPageBreak/>
        <w:t>and Transcriptional Activation Assays, 2003. http://ntp.niehs.nih.gov/?objectid=2BCCBB17-0AE4-6035-AE40845E0CBEBF2E</w:t>
      </w:r>
      <w:r>
        <w:t xml:space="preserve"> (Accessed June 16,2014).</w:t>
      </w:r>
    </w:p>
    <w:p w:rsidR="0077366F" w:rsidRPr="0077366F" w:rsidRDefault="0077366F" w:rsidP="009230C5">
      <w:pPr>
        <w:pStyle w:val="TFReferencesSection"/>
        <w:spacing w:after="0" w:line="240" w:lineRule="auto"/>
      </w:pPr>
      <w:r w:rsidRPr="0077366F">
        <w:t xml:space="preserve">(25) </w:t>
      </w:r>
      <w:r w:rsidRPr="0077366F">
        <w:tab/>
        <w:t xml:space="preserve">Odum, J.; Lefevre, P. A.; Tittensor, S.; Paton, D.; Routledge, E. J.; Beresford, N. A.; Sumpter, J. P.; Ashby, J. The rodent uterotrophic assay: critical protocol features, studies with nonyl phenols, and comparison with a yeast estrogenicity assay. </w:t>
      </w:r>
      <w:r w:rsidRPr="0077366F">
        <w:rPr>
          <w:i/>
          <w:iCs/>
        </w:rPr>
        <w:t>Regul. Toxicol. Pharmacol. RTP</w:t>
      </w:r>
      <w:r w:rsidRPr="0077366F">
        <w:t xml:space="preserve"> </w:t>
      </w:r>
      <w:r w:rsidRPr="0077366F">
        <w:rPr>
          <w:b/>
          <w:bCs/>
        </w:rPr>
        <w:t>1997</w:t>
      </w:r>
      <w:r w:rsidRPr="0077366F">
        <w:t xml:space="preserve">, </w:t>
      </w:r>
      <w:r w:rsidRPr="0077366F">
        <w:rPr>
          <w:i/>
          <w:iCs/>
        </w:rPr>
        <w:t>25</w:t>
      </w:r>
      <w:r w:rsidRPr="0077366F">
        <w:t>, 176–188.</w:t>
      </w:r>
    </w:p>
    <w:p w:rsidR="0077366F" w:rsidRPr="0077366F" w:rsidRDefault="0077366F" w:rsidP="009230C5">
      <w:pPr>
        <w:pStyle w:val="TFReferencesSection"/>
        <w:spacing w:after="0" w:line="240" w:lineRule="auto"/>
      </w:pPr>
      <w:r w:rsidRPr="0077366F">
        <w:t xml:space="preserve">(26) </w:t>
      </w:r>
      <w:r w:rsidRPr="0077366F">
        <w:tab/>
        <w:t xml:space="preserve">Caldwell, D. J.; Mastrocco, F.; Anderson, P. D.; Länge, R.; Sumpter, J. P. Predicted-no-effect concentrations for the steroid estrogens estrone, 17β-estradiol, estriol, and 17α-ethinylestradiol. </w:t>
      </w:r>
      <w:r w:rsidRPr="0077366F">
        <w:rPr>
          <w:i/>
          <w:iCs/>
        </w:rPr>
        <w:t>Environ. Toxicol. Chem.</w:t>
      </w:r>
      <w:r w:rsidRPr="0077366F">
        <w:t xml:space="preserve"> </w:t>
      </w:r>
      <w:r w:rsidRPr="0077366F">
        <w:rPr>
          <w:b/>
          <w:bCs/>
        </w:rPr>
        <w:t>2012</w:t>
      </w:r>
      <w:r w:rsidRPr="0077366F">
        <w:t xml:space="preserve">, </w:t>
      </w:r>
      <w:r w:rsidRPr="0077366F">
        <w:rPr>
          <w:i/>
          <w:iCs/>
        </w:rPr>
        <w:t>31</w:t>
      </w:r>
      <w:r w:rsidRPr="0077366F">
        <w:t>, 1396–1406.</w:t>
      </w:r>
    </w:p>
    <w:p w:rsidR="0077366F" w:rsidRPr="0077366F" w:rsidRDefault="0077366F" w:rsidP="009230C5">
      <w:pPr>
        <w:pStyle w:val="TFReferencesSection"/>
        <w:spacing w:after="0" w:line="240" w:lineRule="auto"/>
      </w:pPr>
      <w:r w:rsidRPr="0077366F">
        <w:t xml:space="preserve">(27) </w:t>
      </w:r>
      <w:r w:rsidRPr="0077366F">
        <w:tab/>
        <w:t xml:space="preserve">Gutendorf, B.; Westendorf, J. Comparison of an array of in vitro assays for the assessment of the estrogenic potential of natural and synthetic estrogens, phytoestrogens and xenoestrogens. </w:t>
      </w:r>
      <w:r w:rsidRPr="0077366F">
        <w:rPr>
          <w:i/>
          <w:iCs/>
        </w:rPr>
        <w:t>Toxicology</w:t>
      </w:r>
      <w:r w:rsidRPr="0077366F">
        <w:t xml:space="preserve"> </w:t>
      </w:r>
      <w:r w:rsidRPr="0077366F">
        <w:rPr>
          <w:b/>
          <w:bCs/>
        </w:rPr>
        <w:t>2001</w:t>
      </w:r>
      <w:r w:rsidRPr="0077366F">
        <w:t xml:space="preserve">, </w:t>
      </w:r>
      <w:r w:rsidRPr="0077366F">
        <w:rPr>
          <w:i/>
          <w:iCs/>
        </w:rPr>
        <w:t>166</w:t>
      </w:r>
      <w:r w:rsidRPr="0077366F">
        <w:t>, 79–89.</w:t>
      </w:r>
    </w:p>
    <w:p w:rsidR="0077366F" w:rsidRPr="0077366F" w:rsidRDefault="0077366F" w:rsidP="009230C5">
      <w:pPr>
        <w:pStyle w:val="TFReferencesSection"/>
        <w:spacing w:after="0" w:line="240" w:lineRule="auto"/>
      </w:pPr>
      <w:r w:rsidRPr="0077366F">
        <w:t xml:space="preserve">(28) </w:t>
      </w:r>
      <w:r w:rsidRPr="0077366F">
        <w:tab/>
        <w:t xml:space="preserve">Totta, P.; Acconcia, F.; Virgili, F.; Cassidy, A.; Weinberg, P. D.; Rimbach, G.; Marino, M. Daidzein-sulfate metabolites affect transcriptional and antiproliferative activities of estrogen receptor-beta in cultured human cancer cells. </w:t>
      </w:r>
      <w:r w:rsidRPr="0077366F">
        <w:rPr>
          <w:i/>
          <w:iCs/>
        </w:rPr>
        <w:t>J. Nutr.</w:t>
      </w:r>
      <w:r w:rsidRPr="0077366F">
        <w:t xml:space="preserve"> </w:t>
      </w:r>
      <w:r w:rsidRPr="0077366F">
        <w:rPr>
          <w:b/>
          <w:bCs/>
        </w:rPr>
        <w:t>2005</w:t>
      </w:r>
      <w:r w:rsidRPr="0077366F">
        <w:t xml:space="preserve">, </w:t>
      </w:r>
      <w:r w:rsidRPr="0077366F">
        <w:rPr>
          <w:i/>
          <w:iCs/>
        </w:rPr>
        <w:t>135</w:t>
      </w:r>
      <w:r w:rsidRPr="0077366F">
        <w:t>, 2687–2693.</w:t>
      </w:r>
    </w:p>
    <w:p w:rsidR="0077366F" w:rsidRPr="0077366F" w:rsidRDefault="0077366F" w:rsidP="009230C5">
      <w:pPr>
        <w:pStyle w:val="TFReferencesSection"/>
        <w:spacing w:after="0" w:line="240" w:lineRule="auto"/>
      </w:pPr>
      <w:r w:rsidRPr="0077366F">
        <w:t xml:space="preserve">(29) </w:t>
      </w:r>
      <w:r w:rsidRPr="0077366F">
        <w:tab/>
        <w:t xml:space="preserve">Zhang, C.-Y.; Chen, J.; Yin, D.-C.; Lin, S.-X. The contribution of 17beta-hydroxysteroid dehydrogenase type 1 to the estradiol-estrone ratio in estrogen-sensitive breast cancer cells. </w:t>
      </w:r>
      <w:r w:rsidRPr="0077366F">
        <w:rPr>
          <w:i/>
          <w:iCs/>
        </w:rPr>
        <w:t>PloS One</w:t>
      </w:r>
      <w:r w:rsidRPr="0077366F">
        <w:t xml:space="preserve"> </w:t>
      </w:r>
      <w:r w:rsidRPr="0077366F">
        <w:rPr>
          <w:b/>
          <w:bCs/>
        </w:rPr>
        <w:t>2012</w:t>
      </w:r>
      <w:r w:rsidRPr="0077366F">
        <w:t xml:space="preserve">, </w:t>
      </w:r>
      <w:r w:rsidRPr="0077366F">
        <w:rPr>
          <w:i/>
          <w:iCs/>
        </w:rPr>
        <w:t>7</w:t>
      </w:r>
      <w:r w:rsidRPr="0077366F">
        <w:t>, e29835.</w:t>
      </w:r>
    </w:p>
    <w:p w:rsidR="0077366F" w:rsidRPr="0077366F" w:rsidRDefault="0077366F" w:rsidP="009230C5">
      <w:pPr>
        <w:pStyle w:val="TFReferencesSection"/>
        <w:spacing w:after="0" w:line="240" w:lineRule="auto"/>
      </w:pPr>
      <w:r w:rsidRPr="0077366F">
        <w:t xml:space="preserve">(30) </w:t>
      </w:r>
      <w:r w:rsidRPr="0077366F">
        <w:tab/>
        <w:t xml:space="preserve">Roberge, M.; Hakk, H.; Larsen, G. Atrazine is a competitive inhibitor of phosphodiesterase but does not affect the estrogen receptor. </w:t>
      </w:r>
      <w:r w:rsidRPr="0077366F">
        <w:rPr>
          <w:i/>
          <w:iCs/>
        </w:rPr>
        <w:t>Toxicol. Lett.</w:t>
      </w:r>
      <w:r w:rsidRPr="0077366F">
        <w:t xml:space="preserve"> </w:t>
      </w:r>
      <w:r w:rsidRPr="0077366F">
        <w:rPr>
          <w:b/>
          <w:bCs/>
        </w:rPr>
        <w:t>2004</w:t>
      </w:r>
      <w:r w:rsidRPr="0077366F">
        <w:t xml:space="preserve">, </w:t>
      </w:r>
      <w:r w:rsidRPr="0077366F">
        <w:rPr>
          <w:i/>
          <w:iCs/>
        </w:rPr>
        <w:t>154</w:t>
      </w:r>
      <w:r w:rsidRPr="0077366F">
        <w:t>, 61–68.</w:t>
      </w:r>
    </w:p>
    <w:p w:rsidR="0077366F" w:rsidRPr="0077366F" w:rsidRDefault="0077366F" w:rsidP="009230C5">
      <w:pPr>
        <w:pStyle w:val="TFReferencesSection"/>
        <w:spacing w:after="0" w:line="240" w:lineRule="auto"/>
      </w:pPr>
      <w:r w:rsidRPr="0077366F">
        <w:t xml:space="preserve">(31) </w:t>
      </w:r>
      <w:r w:rsidRPr="0077366F">
        <w:tab/>
        <w:t xml:space="preserve">Weihua, Z.; Saji, S.; Mäkinen, S.; Cheng, G.; Jensen, E. V.; Warner, M.; Gustafsson, J.-Å. Estrogen receptor (ER) β, a modulator of ERα in the uterus. </w:t>
      </w:r>
      <w:r w:rsidRPr="0077366F">
        <w:rPr>
          <w:i/>
          <w:iCs/>
        </w:rPr>
        <w:t>Proc. Natl. Acad. Sci.</w:t>
      </w:r>
      <w:r w:rsidRPr="0077366F">
        <w:t xml:space="preserve"> </w:t>
      </w:r>
      <w:r w:rsidRPr="0077366F">
        <w:rPr>
          <w:b/>
          <w:bCs/>
        </w:rPr>
        <w:t>2000</w:t>
      </w:r>
      <w:r w:rsidRPr="0077366F">
        <w:t xml:space="preserve">, </w:t>
      </w:r>
      <w:r w:rsidRPr="0077366F">
        <w:rPr>
          <w:i/>
          <w:iCs/>
        </w:rPr>
        <w:t>97</w:t>
      </w:r>
      <w:r w:rsidRPr="0077366F">
        <w:t>, 5936–5941.</w:t>
      </w:r>
    </w:p>
    <w:p w:rsidR="0077366F" w:rsidRPr="0077366F" w:rsidRDefault="0077366F" w:rsidP="009230C5">
      <w:pPr>
        <w:pStyle w:val="TFReferencesSection"/>
        <w:spacing w:after="0" w:line="240" w:lineRule="auto"/>
      </w:pPr>
      <w:r w:rsidRPr="0077366F">
        <w:t xml:space="preserve">(32) </w:t>
      </w:r>
      <w:r w:rsidRPr="0077366F">
        <w:tab/>
        <w:t>U.S. EPA. Endocrine Disruptor Screening Program for the 21st Century (EDSP21 Work Plan). The Incorporation of In Silico Models and In Vitro High Throughput Assays in the Endocrine Disruptor Screening Program (EDSP) for Prioritization and Screening http://www.epa.gov/endo/pubs/edsp21_work_plan_summary%20_overview_final.pdf (accessed Jan 12, 2012).</w:t>
      </w:r>
    </w:p>
    <w:p w:rsidR="009246AD" w:rsidRDefault="00577CDC" w:rsidP="00A9455E">
      <w:pPr>
        <w:pStyle w:val="TFReferencesSection"/>
        <w:spacing w:after="0"/>
      </w:pPr>
      <w:r w:rsidRPr="00302919">
        <w:rPr>
          <w:b/>
          <w:bCs/>
        </w:rPr>
        <w:fldChar w:fldCharType="end"/>
      </w:r>
      <w:r w:rsidDel="00577CDC">
        <w:t xml:space="preserve"> </w:t>
      </w:r>
      <w:r w:rsidR="009246AD">
        <w:t>.</w:t>
      </w:r>
    </w:p>
    <w:p w:rsidR="009246AD" w:rsidRDefault="009246AD" w:rsidP="000B5610">
      <w:pPr>
        <w:pStyle w:val="SNSynopsisTOC"/>
        <w:spacing w:after="240"/>
        <w:jc w:val="left"/>
      </w:pPr>
    </w:p>
    <w:sectPr w:rsidR="009246AD" w:rsidSect="00E830B8">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59F" w:rsidRDefault="002C459F">
      <w:r>
        <w:separator/>
      </w:r>
    </w:p>
  </w:endnote>
  <w:endnote w:type="continuationSeparator" w:id="0">
    <w:p w:rsidR="002C459F" w:rsidRDefault="002C4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C58" w:rsidRDefault="00580C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80C58" w:rsidRDefault="00580C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C58" w:rsidRDefault="00580C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455E">
      <w:rPr>
        <w:rStyle w:val="PageNumber"/>
        <w:noProof/>
      </w:rPr>
      <w:t>2</w:t>
    </w:r>
    <w:r>
      <w:rPr>
        <w:rStyle w:val="PageNumber"/>
      </w:rPr>
      <w:fldChar w:fldCharType="end"/>
    </w:r>
  </w:p>
  <w:p w:rsidR="00580C58" w:rsidRDefault="00580C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59F" w:rsidRDefault="002C459F">
      <w:r>
        <w:separator/>
      </w:r>
    </w:p>
  </w:footnote>
  <w:footnote w:type="continuationSeparator" w:id="0">
    <w:p w:rsidR="002C459F" w:rsidRDefault="002C4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545D7"/>
    <w:multiLevelType w:val="hybridMultilevel"/>
    <w:tmpl w:val="8E06E166"/>
    <w:lvl w:ilvl="0" w:tplc="950EBDB0">
      <w:start w:val="1"/>
      <w:numFmt w:val="upperRoman"/>
      <w:pStyle w:val="TOC2"/>
      <w:lvlText w:val="%1."/>
      <w:lvlJc w:val="left"/>
      <w:pPr>
        <w:ind w:left="1350" w:hanging="360"/>
      </w:pPr>
      <w:rPr>
        <w:rFonts w:ascii="Times New Roman" w:hAnsi="Times New Roman" w:hint="default"/>
        <w:b w:val="0"/>
        <w:i w:val="0"/>
        <w:caps w:val="0"/>
        <w:strike w:val="0"/>
        <w:dstrike w:val="0"/>
        <w:vanish w:val="0"/>
        <w:color w:val="000000"/>
        <w:sz w:val="24"/>
        <w:vertAlign w:val="baseline"/>
      </w:rPr>
    </w:lvl>
    <w:lvl w:ilvl="1" w:tplc="04090019">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nsid w:val="33546DEE"/>
    <w:multiLevelType w:val="multilevel"/>
    <w:tmpl w:val="42EE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DAE7C2D"/>
    <w:multiLevelType w:val="hybridMultilevel"/>
    <w:tmpl w:val="24B0FFC2"/>
    <w:lvl w:ilvl="0" w:tplc="891C6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nsid w:val="465324BD"/>
    <w:multiLevelType w:val="hybridMultilevel"/>
    <w:tmpl w:val="27F64F50"/>
    <w:lvl w:ilvl="0" w:tplc="941C8D3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F6B53DB"/>
    <w:multiLevelType w:val="multilevel"/>
    <w:tmpl w:val="BB3C7A42"/>
    <w:lvl w:ilvl="0">
      <w:start w:val="1"/>
      <w:numFmt w:val="none"/>
      <w:suff w:val="nothing"/>
      <w:lvlText w:val="1"/>
      <w:lvlJc w:val="center"/>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397759D"/>
    <w:multiLevelType w:val="hybridMultilevel"/>
    <w:tmpl w:val="24B0FFC2"/>
    <w:lvl w:ilvl="0" w:tplc="891C6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5B24F7"/>
    <w:multiLevelType w:val="hybridMultilevel"/>
    <w:tmpl w:val="75A23FB2"/>
    <w:lvl w:ilvl="0" w:tplc="97422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7A25003"/>
    <w:multiLevelType w:val="hybridMultilevel"/>
    <w:tmpl w:val="F5DC94EE"/>
    <w:lvl w:ilvl="0" w:tplc="03AE9112">
      <w:start w:val="1"/>
      <w:numFmt w:val="upperRoman"/>
      <w:lvlText w:val="%1."/>
      <w:lvlJc w:val="righ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num>
  <w:num w:numId="3">
    <w:abstractNumId w:val="8"/>
  </w:num>
  <w:num w:numId="4">
    <w:abstractNumId w:val="5"/>
  </w:num>
  <w:num w:numId="5">
    <w:abstractNumId w:val="3"/>
  </w:num>
  <w:num w:numId="6">
    <w:abstractNumId w:val="1"/>
  </w:num>
  <w:num w:numId="7">
    <w:abstractNumId w:val="12"/>
  </w:num>
  <w:num w:numId="8">
    <w:abstractNumId w:val="2"/>
  </w:num>
  <w:num w:numId="9">
    <w:abstractNumId w:val="9"/>
  </w:num>
  <w:num w:numId="10">
    <w:abstractNumId w:val="0"/>
  </w:num>
  <w:num w:numId="11">
    <w:abstractNumId w:val="10"/>
  </w:num>
  <w:num w:numId="12">
    <w:abstractNumId w:val="11"/>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03A"/>
    <w:rsid w:val="00033723"/>
    <w:rsid w:val="0005660F"/>
    <w:rsid w:val="00093A11"/>
    <w:rsid w:val="000B5610"/>
    <w:rsid w:val="00200280"/>
    <w:rsid w:val="002107C9"/>
    <w:rsid w:val="002C3431"/>
    <w:rsid w:val="002C459F"/>
    <w:rsid w:val="003312F9"/>
    <w:rsid w:val="003664E9"/>
    <w:rsid w:val="003679A1"/>
    <w:rsid w:val="003B4AF3"/>
    <w:rsid w:val="003D7D44"/>
    <w:rsid w:val="003F6C6A"/>
    <w:rsid w:val="004733C6"/>
    <w:rsid w:val="00565396"/>
    <w:rsid w:val="00577CDC"/>
    <w:rsid w:val="00580C58"/>
    <w:rsid w:val="00591A57"/>
    <w:rsid w:val="005B0206"/>
    <w:rsid w:val="005D0C10"/>
    <w:rsid w:val="00602DED"/>
    <w:rsid w:val="0063159A"/>
    <w:rsid w:val="0064438D"/>
    <w:rsid w:val="00650E86"/>
    <w:rsid w:val="006B2581"/>
    <w:rsid w:val="007629D3"/>
    <w:rsid w:val="0077366F"/>
    <w:rsid w:val="007772B1"/>
    <w:rsid w:val="00783853"/>
    <w:rsid w:val="0081103A"/>
    <w:rsid w:val="008655C0"/>
    <w:rsid w:val="008673CA"/>
    <w:rsid w:val="008B5E5D"/>
    <w:rsid w:val="00912169"/>
    <w:rsid w:val="0092037A"/>
    <w:rsid w:val="009230C5"/>
    <w:rsid w:val="009246AD"/>
    <w:rsid w:val="00971B43"/>
    <w:rsid w:val="00A02D62"/>
    <w:rsid w:val="00A20EB5"/>
    <w:rsid w:val="00A56EA3"/>
    <w:rsid w:val="00A9455E"/>
    <w:rsid w:val="00AA3E0C"/>
    <w:rsid w:val="00AB34C5"/>
    <w:rsid w:val="00B50E3D"/>
    <w:rsid w:val="00B62F33"/>
    <w:rsid w:val="00B7618D"/>
    <w:rsid w:val="00B928E2"/>
    <w:rsid w:val="00C008E7"/>
    <w:rsid w:val="00C10EE0"/>
    <w:rsid w:val="00C12556"/>
    <w:rsid w:val="00D32E24"/>
    <w:rsid w:val="00D34C94"/>
    <w:rsid w:val="00DD6DBB"/>
    <w:rsid w:val="00E074F2"/>
    <w:rsid w:val="00E830B8"/>
    <w:rsid w:val="00E96302"/>
    <w:rsid w:val="00EA5F0D"/>
    <w:rsid w:val="00ED2BBD"/>
    <w:rsid w:val="00EF0C06"/>
    <w:rsid w:val="00F4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FBA15AB-515D-4B36-A62C-3E41E89E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AA3E0C"/>
    <w:pPr>
      <w:keepNext/>
      <w:spacing w:before="240" w:after="60" w:line="480" w:lineRule="auto"/>
      <w:jc w:val="center"/>
      <w:outlineLvl w:val="0"/>
    </w:pPr>
    <w:rPr>
      <w:rFonts w:ascii="Times New Roman" w:hAnsi="Times New Roman"/>
      <w:b/>
      <w:bCs/>
      <w:kern w:val="32"/>
      <w:szCs w:val="24"/>
    </w:rPr>
  </w:style>
  <w:style w:type="paragraph" w:styleId="Heading2">
    <w:name w:val="heading 2"/>
    <w:basedOn w:val="Normal"/>
    <w:next w:val="Normal"/>
    <w:link w:val="Heading2Char"/>
    <w:qFormat/>
    <w:rsid w:val="00AA3E0C"/>
    <w:pPr>
      <w:keepNext/>
      <w:spacing w:before="240" w:after="60" w:line="480" w:lineRule="auto"/>
      <w:jc w:val="center"/>
      <w:outlineLvl w:val="1"/>
    </w:pPr>
    <w:rPr>
      <w:rFonts w:ascii="Times New Roman" w:hAnsi="Times New Roman"/>
      <w:b/>
      <w:bCs/>
      <w:iCs/>
      <w:szCs w:val="24"/>
    </w:rPr>
  </w:style>
  <w:style w:type="paragraph" w:styleId="Heading3">
    <w:name w:val="heading 3"/>
    <w:basedOn w:val="Normal"/>
    <w:next w:val="Normal"/>
    <w:link w:val="Heading3Char"/>
    <w:unhideWhenUsed/>
    <w:qFormat/>
    <w:rsid w:val="00AA3E0C"/>
    <w:pPr>
      <w:keepNext/>
      <w:spacing w:after="0" w:line="480" w:lineRule="auto"/>
      <w:jc w:val="left"/>
      <w:outlineLvl w:val="2"/>
    </w:pPr>
    <w:rPr>
      <w:rFonts w:ascii="Times New Roman" w:hAnsi="Times New Roma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character" w:customStyle="1" w:styleId="apple-style-span">
    <w:name w:val="apple-style-span"/>
    <w:basedOn w:val="DefaultParagraphFont"/>
    <w:rsid w:val="00AA3E0C"/>
  </w:style>
  <w:style w:type="character" w:customStyle="1" w:styleId="Heading1Char">
    <w:name w:val="Heading 1 Char"/>
    <w:basedOn w:val="DefaultParagraphFont"/>
    <w:link w:val="Heading1"/>
    <w:rsid w:val="00AA3E0C"/>
    <w:rPr>
      <w:rFonts w:ascii="Times New Roman" w:hAnsi="Times New Roman"/>
      <w:b/>
      <w:bCs/>
      <w:kern w:val="32"/>
      <w:sz w:val="24"/>
      <w:szCs w:val="24"/>
    </w:rPr>
  </w:style>
  <w:style w:type="character" w:customStyle="1" w:styleId="Heading2Char">
    <w:name w:val="Heading 2 Char"/>
    <w:basedOn w:val="DefaultParagraphFont"/>
    <w:link w:val="Heading2"/>
    <w:rsid w:val="00AA3E0C"/>
    <w:rPr>
      <w:rFonts w:ascii="Times New Roman" w:hAnsi="Times New Roman"/>
      <w:b/>
      <w:bCs/>
      <w:iCs/>
      <w:sz w:val="24"/>
      <w:szCs w:val="24"/>
    </w:rPr>
  </w:style>
  <w:style w:type="character" w:customStyle="1" w:styleId="Heading3Char">
    <w:name w:val="Heading 3 Char"/>
    <w:basedOn w:val="DefaultParagraphFont"/>
    <w:link w:val="Heading3"/>
    <w:rsid w:val="00AA3E0C"/>
    <w:rPr>
      <w:rFonts w:ascii="Times New Roman" w:hAnsi="Times New Roman"/>
      <w:b/>
      <w:bCs/>
      <w:sz w:val="24"/>
      <w:szCs w:val="24"/>
    </w:rPr>
  </w:style>
  <w:style w:type="paragraph" w:styleId="Header">
    <w:name w:val="header"/>
    <w:basedOn w:val="Normal"/>
    <w:link w:val="HeaderChar"/>
    <w:uiPriority w:val="99"/>
    <w:rsid w:val="00AA3E0C"/>
    <w:pPr>
      <w:tabs>
        <w:tab w:val="center" w:pos="4320"/>
        <w:tab w:val="right" w:pos="8640"/>
      </w:tabs>
      <w:spacing w:after="0"/>
      <w:jc w:val="left"/>
    </w:pPr>
    <w:rPr>
      <w:rFonts w:ascii="Times New Roman" w:hAnsi="Times New Roman"/>
      <w:szCs w:val="24"/>
    </w:rPr>
  </w:style>
  <w:style w:type="character" w:customStyle="1" w:styleId="HeaderChar">
    <w:name w:val="Header Char"/>
    <w:basedOn w:val="DefaultParagraphFont"/>
    <w:link w:val="Header"/>
    <w:uiPriority w:val="99"/>
    <w:rsid w:val="00AA3E0C"/>
    <w:rPr>
      <w:rFonts w:ascii="Times New Roman" w:hAnsi="Times New Roman"/>
      <w:sz w:val="24"/>
      <w:szCs w:val="24"/>
    </w:rPr>
  </w:style>
  <w:style w:type="character" w:customStyle="1" w:styleId="FooterChar">
    <w:name w:val="Footer Char"/>
    <w:basedOn w:val="DefaultParagraphFont"/>
    <w:link w:val="Footer"/>
    <w:uiPriority w:val="99"/>
    <w:rsid w:val="00AA3E0C"/>
    <w:rPr>
      <w:rFonts w:ascii="Times" w:hAnsi="Times"/>
      <w:sz w:val="24"/>
    </w:rPr>
  </w:style>
  <w:style w:type="paragraph" w:customStyle="1" w:styleId="Default">
    <w:name w:val="Default"/>
    <w:rsid w:val="00AA3E0C"/>
    <w:pPr>
      <w:autoSpaceDE w:val="0"/>
      <w:autoSpaceDN w:val="0"/>
      <w:adjustRightInd w:val="0"/>
    </w:pPr>
    <w:rPr>
      <w:rFonts w:ascii="Times New Roman" w:hAnsi="Times New Roman"/>
      <w:color w:val="000000"/>
      <w:sz w:val="24"/>
      <w:szCs w:val="24"/>
    </w:rPr>
  </w:style>
  <w:style w:type="table" w:styleId="TableGrid">
    <w:name w:val="Table Grid"/>
    <w:basedOn w:val="TableNormal"/>
    <w:rsid w:val="00AA3E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A3E0C"/>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AA3E0C"/>
    <w:pPr>
      <w:tabs>
        <w:tab w:val="right" w:leader="dot" w:pos="8990"/>
      </w:tabs>
      <w:spacing w:before="240" w:after="240"/>
      <w:ind w:right="2160"/>
      <w:jc w:val="left"/>
    </w:pPr>
    <w:rPr>
      <w:rFonts w:ascii="Times New Roman" w:hAnsi="Times New Roman"/>
      <w:noProof/>
      <w:szCs w:val="24"/>
    </w:rPr>
  </w:style>
  <w:style w:type="paragraph" w:styleId="NormalWeb">
    <w:name w:val="Normal (Web)"/>
    <w:basedOn w:val="Normal"/>
    <w:uiPriority w:val="99"/>
    <w:rsid w:val="00AA3E0C"/>
    <w:pPr>
      <w:spacing w:before="100" w:beforeAutospacing="1" w:after="100" w:afterAutospacing="1"/>
      <w:jc w:val="left"/>
    </w:pPr>
    <w:rPr>
      <w:rFonts w:ascii="Times New Roman" w:hAnsi="Times New Roman"/>
      <w:szCs w:val="24"/>
    </w:rPr>
  </w:style>
  <w:style w:type="character" w:customStyle="1" w:styleId="BalloonTextChar">
    <w:name w:val="Balloon Text Char"/>
    <w:basedOn w:val="DefaultParagraphFont"/>
    <w:link w:val="BalloonText"/>
    <w:rsid w:val="00AA3E0C"/>
    <w:rPr>
      <w:rFonts w:ascii="Tahoma" w:hAnsi="Tahoma" w:cs="Tahoma"/>
      <w:sz w:val="16"/>
      <w:szCs w:val="16"/>
    </w:rPr>
  </w:style>
  <w:style w:type="character" w:styleId="CommentReference">
    <w:name w:val="annotation reference"/>
    <w:basedOn w:val="DefaultParagraphFont"/>
    <w:rsid w:val="00AA3E0C"/>
    <w:rPr>
      <w:sz w:val="16"/>
      <w:szCs w:val="16"/>
    </w:rPr>
  </w:style>
  <w:style w:type="paragraph" w:styleId="CommentText">
    <w:name w:val="annotation text"/>
    <w:basedOn w:val="Normal"/>
    <w:link w:val="CommentTextChar"/>
    <w:rsid w:val="00AA3E0C"/>
    <w:pPr>
      <w:spacing w:after="0"/>
      <w:jc w:val="left"/>
    </w:pPr>
    <w:rPr>
      <w:rFonts w:ascii="Times New Roman" w:hAnsi="Times New Roman"/>
      <w:sz w:val="20"/>
    </w:rPr>
  </w:style>
  <w:style w:type="character" w:customStyle="1" w:styleId="CommentTextChar">
    <w:name w:val="Comment Text Char"/>
    <w:basedOn w:val="DefaultParagraphFont"/>
    <w:link w:val="CommentText"/>
    <w:rsid w:val="00AA3E0C"/>
    <w:rPr>
      <w:rFonts w:ascii="Times New Roman" w:hAnsi="Times New Roman"/>
    </w:rPr>
  </w:style>
  <w:style w:type="paragraph" w:styleId="CommentSubject">
    <w:name w:val="annotation subject"/>
    <w:basedOn w:val="CommentText"/>
    <w:next w:val="CommentText"/>
    <w:link w:val="CommentSubjectChar"/>
    <w:rsid w:val="00AA3E0C"/>
    <w:rPr>
      <w:b/>
      <w:bCs/>
    </w:rPr>
  </w:style>
  <w:style w:type="character" w:customStyle="1" w:styleId="CommentSubjectChar">
    <w:name w:val="Comment Subject Char"/>
    <w:basedOn w:val="CommentTextChar"/>
    <w:link w:val="CommentSubject"/>
    <w:rsid w:val="00AA3E0C"/>
    <w:rPr>
      <w:rFonts w:ascii="Times New Roman" w:hAnsi="Times New Roman"/>
      <w:b/>
      <w:bCs/>
    </w:rPr>
  </w:style>
  <w:style w:type="character" w:customStyle="1" w:styleId="standardtext">
    <w:name w:val="standardtext"/>
    <w:basedOn w:val="DefaultParagraphFont"/>
    <w:rsid w:val="00AA3E0C"/>
  </w:style>
  <w:style w:type="paragraph" w:customStyle="1" w:styleId="abstract">
    <w:name w:val="abstract"/>
    <w:basedOn w:val="Normal"/>
    <w:rsid w:val="00AA3E0C"/>
    <w:pPr>
      <w:spacing w:before="100" w:beforeAutospacing="1" w:after="100" w:afterAutospacing="1"/>
      <w:jc w:val="left"/>
    </w:pPr>
    <w:rPr>
      <w:rFonts w:ascii="Times New Roman" w:hAnsi="Times New Roman"/>
      <w:szCs w:val="24"/>
    </w:rPr>
  </w:style>
  <w:style w:type="paragraph" w:customStyle="1" w:styleId="TitlePageTitle">
    <w:name w:val="TitlePage_Title"/>
    <w:basedOn w:val="Normal"/>
    <w:link w:val="TitlePageTitleChar"/>
    <w:qFormat/>
    <w:rsid w:val="00AA3E0C"/>
    <w:pPr>
      <w:spacing w:after="0"/>
      <w:jc w:val="center"/>
    </w:pPr>
    <w:rPr>
      <w:rFonts w:ascii="Times New Roman" w:hAnsi="Times New Roman"/>
      <w:bCs/>
      <w:color w:val="000000"/>
      <w:szCs w:val="24"/>
    </w:rPr>
  </w:style>
  <w:style w:type="paragraph" w:styleId="TOC2">
    <w:name w:val="toc 2"/>
    <w:basedOn w:val="Normal"/>
    <w:next w:val="Normal"/>
    <w:autoRedefine/>
    <w:uiPriority w:val="39"/>
    <w:rsid w:val="00AA3E0C"/>
    <w:pPr>
      <w:numPr>
        <w:numId w:val="10"/>
      </w:numPr>
      <w:tabs>
        <w:tab w:val="left" w:pos="990"/>
        <w:tab w:val="left" w:pos="1170"/>
        <w:tab w:val="right" w:leader="dot" w:pos="9000"/>
      </w:tabs>
      <w:spacing w:before="240" w:after="240"/>
      <w:ind w:left="540"/>
      <w:jc w:val="left"/>
    </w:pPr>
    <w:rPr>
      <w:rFonts w:ascii="Times New Roman" w:hAnsi="Times New Roman"/>
      <w:szCs w:val="24"/>
    </w:rPr>
  </w:style>
  <w:style w:type="character" w:customStyle="1" w:styleId="TitlePageTitleChar">
    <w:name w:val="TitlePage_Title Char"/>
    <w:basedOn w:val="DefaultParagraphFont"/>
    <w:link w:val="TitlePageTitle"/>
    <w:rsid w:val="00AA3E0C"/>
    <w:rPr>
      <w:rFonts w:ascii="Times New Roman" w:hAnsi="Times New Roman"/>
      <w:bCs/>
      <w:color w:val="000000"/>
      <w:sz w:val="24"/>
      <w:szCs w:val="24"/>
    </w:rPr>
  </w:style>
  <w:style w:type="paragraph" w:styleId="Subtitle">
    <w:name w:val="Subtitle"/>
    <w:basedOn w:val="Normal"/>
    <w:next w:val="Normal"/>
    <w:link w:val="SubtitleChar"/>
    <w:qFormat/>
    <w:rsid w:val="00AA3E0C"/>
    <w:pPr>
      <w:spacing w:after="60" w:line="480" w:lineRule="auto"/>
      <w:ind w:left="720" w:firstLine="720"/>
      <w:jc w:val="left"/>
      <w:outlineLvl w:val="1"/>
    </w:pPr>
    <w:rPr>
      <w:rFonts w:ascii="Times New Roman" w:hAnsi="Times New Roman"/>
      <w:b/>
      <w:szCs w:val="24"/>
    </w:rPr>
  </w:style>
  <w:style w:type="character" w:customStyle="1" w:styleId="SubtitleChar">
    <w:name w:val="Subtitle Char"/>
    <w:basedOn w:val="DefaultParagraphFont"/>
    <w:link w:val="Subtitle"/>
    <w:rsid w:val="00AA3E0C"/>
    <w:rPr>
      <w:rFonts w:ascii="Times New Roman" w:hAnsi="Times New Roman"/>
      <w:b/>
      <w:sz w:val="24"/>
      <w:szCs w:val="24"/>
    </w:rPr>
  </w:style>
  <w:style w:type="paragraph" w:styleId="TOC3">
    <w:name w:val="toc 3"/>
    <w:basedOn w:val="Normal"/>
    <w:next w:val="Normal"/>
    <w:autoRedefine/>
    <w:uiPriority w:val="39"/>
    <w:rsid w:val="00AA3E0C"/>
    <w:pPr>
      <w:tabs>
        <w:tab w:val="right" w:leader="dot" w:pos="8990"/>
      </w:tabs>
      <w:spacing w:before="240" w:after="240"/>
      <w:ind w:left="990"/>
      <w:jc w:val="left"/>
    </w:pPr>
    <w:rPr>
      <w:rFonts w:ascii="Times New Roman" w:hAnsi="Times New Roman"/>
      <w:bCs/>
      <w:noProof/>
      <w:szCs w:val="24"/>
    </w:rPr>
  </w:style>
  <w:style w:type="paragraph" w:styleId="TOC4">
    <w:name w:val="toc 4"/>
    <w:basedOn w:val="Normal"/>
    <w:next w:val="Normal"/>
    <w:autoRedefine/>
    <w:rsid w:val="00AA3E0C"/>
    <w:pPr>
      <w:spacing w:after="0"/>
      <w:ind w:left="720"/>
      <w:jc w:val="left"/>
    </w:pPr>
    <w:rPr>
      <w:rFonts w:ascii="Times New Roman" w:hAnsi="Times New Roman"/>
      <w:szCs w:val="24"/>
    </w:rPr>
  </w:style>
  <w:style w:type="character" w:styleId="LineNumber">
    <w:name w:val="line number"/>
    <w:basedOn w:val="DefaultParagraphFont"/>
    <w:uiPriority w:val="99"/>
    <w:unhideWhenUsed/>
    <w:rsid w:val="00AA3E0C"/>
  </w:style>
  <w:style w:type="character" w:customStyle="1" w:styleId="FootnoteTextChar">
    <w:name w:val="Footnote Text Char"/>
    <w:basedOn w:val="DefaultParagraphFont"/>
    <w:link w:val="FootnoteText"/>
    <w:rsid w:val="00AA3E0C"/>
    <w:rPr>
      <w:rFonts w:ascii="Times" w:hAnsi="Times"/>
      <w:sz w:val="24"/>
    </w:rPr>
  </w:style>
  <w:style w:type="character" w:styleId="FootnoteReference">
    <w:name w:val="footnote reference"/>
    <w:basedOn w:val="DefaultParagraphFont"/>
    <w:rsid w:val="00AA3E0C"/>
    <w:rPr>
      <w:vertAlign w:val="superscript"/>
    </w:rPr>
  </w:style>
  <w:style w:type="paragraph" w:styleId="Caption">
    <w:name w:val="caption"/>
    <w:basedOn w:val="Normal"/>
    <w:next w:val="Normal"/>
    <w:unhideWhenUsed/>
    <w:qFormat/>
    <w:rsid w:val="00AA3E0C"/>
    <w:pPr>
      <w:keepNext/>
      <w:spacing w:after="0"/>
      <w:jc w:val="left"/>
    </w:pPr>
    <w:rPr>
      <w:rFonts w:ascii="Times New Roman" w:hAnsi="Times New Roman"/>
      <w:b/>
      <w:bCs/>
      <w:szCs w:val="24"/>
    </w:rPr>
  </w:style>
  <w:style w:type="paragraph" w:styleId="TableofFigures">
    <w:name w:val="table of figures"/>
    <w:basedOn w:val="Normal"/>
    <w:next w:val="Normal"/>
    <w:uiPriority w:val="99"/>
    <w:rsid w:val="00AA3E0C"/>
    <w:pPr>
      <w:spacing w:after="0"/>
      <w:jc w:val="left"/>
    </w:pPr>
    <w:rPr>
      <w:rFonts w:ascii="Times New Roman" w:hAnsi="Times New Roman"/>
      <w:szCs w:val="24"/>
    </w:rPr>
  </w:style>
  <w:style w:type="table" w:customStyle="1" w:styleId="LightShading1">
    <w:name w:val="Light Shading1"/>
    <w:basedOn w:val="TableNormal"/>
    <w:uiPriority w:val="60"/>
    <w:rsid w:val="00AA3E0C"/>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A3E0C"/>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AA3E0C"/>
    <w:rPr>
      <w:color w:val="808080"/>
    </w:rPr>
  </w:style>
  <w:style w:type="paragraph" w:styleId="Bibliography">
    <w:name w:val="Bibliography"/>
    <w:basedOn w:val="Normal"/>
    <w:next w:val="Normal"/>
    <w:uiPriority w:val="37"/>
    <w:unhideWhenUsed/>
    <w:rsid w:val="00AA3E0C"/>
    <w:pPr>
      <w:tabs>
        <w:tab w:val="left" w:pos="624"/>
      </w:tabs>
      <w:spacing w:after="0"/>
      <w:ind w:left="624" w:hanging="624"/>
      <w:jc w:val="left"/>
    </w:pPr>
    <w:rPr>
      <w:rFonts w:ascii="Times New Roman" w:hAnsi="Times New Roman"/>
      <w:szCs w:val="24"/>
    </w:rPr>
  </w:style>
  <w:style w:type="character" w:styleId="EndnoteReference">
    <w:name w:val="endnote reference"/>
    <w:basedOn w:val="DefaultParagraphFont"/>
    <w:rsid w:val="00AA3E0C"/>
    <w:rPr>
      <w:vertAlign w:val="superscript"/>
    </w:rPr>
  </w:style>
  <w:style w:type="table" w:customStyle="1" w:styleId="LightShading12">
    <w:name w:val="Light Shading12"/>
    <w:basedOn w:val="TableNormal"/>
    <w:uiPriority w:val="60"/>
    <w:rsid w:val="00AA3E0C"/>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TableNormal"/>
    <w:uiPriority w:val="60"/>
    <w:rsid w:val="00AA3E0C"/>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AA3E0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pa.gov/dsstox_structurebrowser/" TargetMode="Externa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judson.richard@epa.gov" TargetMode="Externa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ubchem.ncbi.nlm.nih.gov/" TargetMode="Externa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roff\Documents\Custom%20Office%20Template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E816-6017-4D33-BE39-DE158AEFD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33</Pages>
  <Words>15949</Words>
  <Characters>90910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106646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Daniel Rotroff</dc:creator>
  <cp:keywords/>
  <cp:lastModifiedBy>Daniel Rotroff</cp:lastModifiedBy>
  <cp:revision>2</cp:revision>
  <cp:lastPrinted>2008-06-11T21:33:00Z</cp:lastPrinted>
  <dcterms:created xsi:type="dcterms:W3CDTF">2014-06-19T22:44:00Z</dcterms:created>
  <dcterms:modified xsi:type="dcterms:W3CDTF">2014-06-19T22:44:00Z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id="JwPT4LHS"/&gt;&lt;style id="http://www.zotero.org/styles/environmental-science-and-technology"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value="0"/&gt;&lt;/prefs&gt;&lt;/data&gt;</vt:lpwstr>
  </property>
</Properties>
</file>