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5C8C" w14:textId="4885BDFD" w:rsidR="00CB627A" w:rsidRDefault="00401EBE">
      <w:r>
        <w:t>WQX Web Demo</w:t>
      </w:r>
    </w:p>
    <w:p w14:paraId="365050D6" w14:textId="617D6E7C" w:rsidR="00401EBE" w:rsidRDefault="00401EBE">
      <w:r>
        <w:t>Wide Format or Crosstab Parameters (Characteristic + Metadata)</w:t>
      </w:r>
      <w:r w:rsidR="007E55BD">
        <w:t xml:space="preserve"> </w:t>
      </w:r>
      <w:r w:rsidR="00F1392F">
        <w:t>---CONTINUED</w:t>
      </w:r>
      <w:r w:rsidR="00AD47ED">
        <w:t xml:space="preserve"> 2026-03-26</w:t>
      </w:r>
    </w:p>
    <w:p w14:paraId="332B4020" w14:textId="6ECCC0E2" w:rsidR="007E55BD" w:rsidRPr="007E55BD" w:rsidRDefault="007E55BD" w:rsidP="007E55BD">
      <w:r w:rsidRPr="007E55BD">
        <w:t>Wide format monitoring data arranges information so that each subject (e.g., monitoring station, device) has only one row, with multiple measurements or time points spread across columns. This format is often used for easier viewing in spreadsheets like Excel, although long format is generally preferred for data analysis. </w:t>
      </w:r>
    </w:p>
    <w:p w14:paraId="67411A2C" w14:textId="7647B7DD" w:rsidR="007E55BD" w:rsidRPr="007E55BD" w:rsidRDefault="007E55BD" w:rsidP="007E55BD">
      <w:r w:rsidRPr="007E55BD">
        <w:t>Here are examples of wide format monitoring data:</w:t>
      </w:r>
    </w:p>
    <w:p w14:paraId="18F8B9C9" w14:textId="77777777" w:rsidR="00F96278" w:rsidRDefault="00F96278"/>
    <w:p w14:paraId="54C775A0" w14:textId="77777777" w:rsidR="00B0057A" w:rsidRDefault="00B0057A"/>
    <w:p w14:paraId="7C897177" w14:textId="77777777" w:rsidR="00F1392F" w:rsidRPr="00F1392F" w:rsidRDefault="00F1392F" w:rsidP="00F1392F">
      <w:r w:rsidRPr="00F1392F">
        <w:rPr>
          <w:b/>
          <w:bCs/>
        </w:rPr>
        <w:t>Import Configurations</w:t>
      </w:r>
    </w:p>
    <w:tbl>
      <w:tblPr>
        <w:tblW w:w="21600" w:type="dxa"/>
        <w:tblCellSpacing w:w="22" w:type="dxa"/>
        <w:tblCellMar>
          <w:left w:w="0" w:type="dxa"/>
          <w:right w:w="0" w:type="dxa"/>
        </w:tblCellMar>
        <w:tblLook w:val="04A0" w:firstRow="1" w:lastRow="0" w:firstColumn="1" w:lastColumn="0" w:noHBand="0" w:noVBand="1"/>
      </w:tblPr>
      <w:tblGrid>
        <w:gridCol w:w="1340"/>
        <w:gridCol w:w="3960"/>
        <w:gridCol w:w="7660"/>
        <w:gridCol w:w="4320"/>
        <w:gridCol w:w="4320"/>
      </w:tblGrid>
      <w:tr w:rsidR="00F1392F" w:rsidRPr="00F1392F" w14:paraId="71AD11A5" w14:textId="77777777" w:rsidTr="005F54DE">
        <w:trPr>
          <w:tblHeader/>
          <w:tblCellSpacing w:w="22" w:type="dxa"/>
        </w:trPr>
        <w:tc>
          <w:tcPr>
            <w:tcW w:w="1274" w:type="dxa"/>
            <w:tcBorders>
              <w:top w:val="nil"/>
              <w:left w:val="single" w:sz="8" w:space="0" w:color="89AEE5"/>
              <w:bottom w:val="single" w:sz="8" w:space="0" w:color="5D8CC9"/>
              <w:right w:val="nil"/>
            </w:tcBorders>
            <w:shd w:val="clear" w:color="auto" w:fill="7DA5E0"/>
            <w:tcMar>
              <w:top w:w="75" w:type="dxa"/>
              <w:left w:w="120" w:type="dxa"/>
              <w:bottom w:w="60" w:type="dxa"/>
              <w:right w:w="105" w:type="dxa"/>
            </w:tcMar>
            <w:vAlign w:val="center"/>
            <w:hideMark/>
          </w:tcPr>
          <w:p w14:paraId="3FD2DAA5" w14:textId="77777777" w:rsidR="00F1392F" w:rsidRPr="00F1392F" w:rsidRDefault="00F1392F" w:rsidP="00F1392F">
            <w:hyperlink r:id="rId5" w:tooltip="Click here to sort" w:history="1">
              <w:r w:rsidRPr="00F1392F">
                <w:rPr>
                  <w:rStyle w:val="Hyperlink"/>
                </w:rPr>
                <w:t>ID</w:t>
              </w:r>
            </w:hyperlink>
          </w:p>
        </w:tc>
        <w:tc>
          <w:tcPr>
            <w:tcW w:w="3916" w:type="dxa"/>
            <w:tcBorders>
              <w:top w:val="nil"/>
              <w:left w:val="single" w:sz="8" w:space="0" w:color="89AEE5"/>
              <w:bottom w:val="single" w:sz="8" w:space="0" w:color="5D8CC9"/>
              <w:right w:val="nil"/>
            </w:tcBorders>
            <w:shd w:val="clear" w:color="auto" w:fill="7DA5E0"/>
            <w:tcMar>
              <w:top w:w="75" w:type="dxa"/>
              <w:left w:w="105" w:type="dxa"/>
              <w:bottom w:w="60" w:type="dxa"/>
              <w:right w:w="105" w:type="dxa"/>
            </w:tcMar>
            <w:vAlign w:val="center"/>
            <w:hideMark/>
          </w:tcPr>
          <w:p w14:paraId="171AB274" w14:textId="77777777" w:rsidR="00F1392F" w:rsidRPr="00F1392F" w:rsidRDefault="00F1392F" w:rsidP="00F1392F">
            <w:hyperlink r:id="rId6" w:tooltip="Click here to sort" w:history="1">
              <w:r w:rsidRPr="00F1392F">
                <w:rPr>
                  <w:rStyle w:val="Hyperlink"/>
                </w:rPr>
                <w:t>Type</w:t>
              </w:r>
            </w:hyperlink>
          </w:p>
        </w:tc>
        <w:tc>
          <w:tcPr>
            <w:tcW w:w="7616" w:type="dxa"/>
            <w:tcBorders>
              <w:top w:val="nil"/>
              <w:left w:val="single" w:sz="8" w:space="0" w:color="89AEE5"/>
              <w:bottom w:val="single" w:sz="8" w:space="0" w:color="5D8CC9"/>
              <w:right w:val="nil"/>
            </w:tcBorders>
            <w:shd w:val="clear" w:color="auto" w:fill="7DA5E0"/>
            <w:tcMar>
              <w:top w:w="75" w:type="dxa"/>
              <w:left w:w="105" w:type="dxa"/>
              <w:bottom w:w="60" w:type="dxa"/>
              <w:right w:w="105" w:type="dxa"/>
            </w:tcMar>
            <w:vAlign w:val="center"/>
            <w:hideMark/>
          </w:tcPr>
          <w:p w14:paraId="763CBCB1" w14:textId="77777777" w:rsidR="00F1392F" w:rsidRPr="00F1392F" w:rsidRDefault="00F1392F" w:rsidP="00F1392F">
            <w:hyperlink r:id="rId7" w:tooltip="Click here to sort" w:history="1">
              <w:r w:rsidRPr="00F1392F">
                <w:rPr>
                  <w:rStyle w:val="Hyperlink"/>
                </w:rPr>
                <w:t>Name</w:t>
              </w:r>
            </w:hyperlink>
          </w:p>
        </w:tc>
        <w:tc>
          <w:tcPr>
            <w:tcW w:w="4276" w:type="dxa"/>
            <w:tcBorders>
              <w:top w:val="nil"/>
              <w:left w:val="single" w:sz="8" w:space="0" w:color="89AEE5"/>
              <w:bottom w:val="single" w:sz="8" w:space="0" w:color="5D8CC9"/>
              <w:right w:val="nil"/>
            </w:tcBorders>
            <w:shd w:val="clear" w:color="auto" w:fill="7DA5E0"/>
            <w:tcMar>
              <w:top w:w="75" w:type="dxa"/>
              <w:left w:w="105" w:type="dxa"/>
              <w:bottom w:w="60" w:type="dxa"/>
              <w:right w:w="105" w:type="dxa"/>
            </w:tcMar>
            <w:vAlign w:val="center"/>
            <w:hideMark/>
          </w:tcPr>
          <w:p w14:paraId="131FC71E" w14:textId="77777777" w:rsidR="00F1392F" w:rsidRPr="00F1392F" w:rsidRDefault="00F1392F" w:rsidP="00F1392F">
            <w:hyperlink r:id="rId8" w:tooltip="Click here to sort" w:history="1">
              <w:r w:rsidRPr="00F1392F">
                <w:rPr>
                  <w:rStyle w:val="Hyperlink"/>
                </w:rPr>
                <w:t>Default Organization</w:t>
              </w:r>
            </w:hyperlink>
          </w:p>
        </w:tc>
        <w:tc>
          <w:tcPr>
            <w:tcW w:w="4254" w:type="dxa"/>
            <w:tcBorders>
              <w:top w:val="nil"/>
              <w:left w:val="single" w:sz="8" w:space="0" w:color="89AEE5"/>
              <w:bottom w:val="single" w:sz="8" w:space="0" w:color="5D8CC9"/>
              <w:right w:val="nil"/>
            </w:tcBorders>
            <w:shd w:val="clear" w:color="auto" w:fill="7DA5E0"/>
            <w:tcMar>
              <w:top w:w="75" w:type="dxa"/>
              <w:left w:w="105" w:type="dxa"/>
              <w:bottom w:w="60" w:type="dxa"/>
              <w:right w:w="105" w:type="dxa"/>
            </w:tcMar>
            <w:vAlign w:val="center"/>
            <w:hideMark/>
          </w:tcPr>
          <w:p w14:paraId="45268445" w14:textId="77777777" w:rsidR="00F1392F" w:rsidRPr="00F1392F" w:rsidRDefault="00F1392F" w:rsidP="00F1392F">
            <w:hyperlink r:id="rId9" w:tooltip="Click here to sort" w:history="1">
              <w:r w:rsidRPr="00F1392F">
                <w:rPr>
                  <w:rStyle w:val="Hyperlink"/>
                </w:rPr>
                <w:t>Owner</w:t>
              </w:r>
            </w:hyperlink>
          </w:p>
        </w:tc>
      </w:tr>
      <w:tr w:rsidR="00F1392F" w:rsidRPr="00F1392F" w14:paraId="770C1293" w14:textId="77777777" w:rsidTr="005F54DE">
        <w:trPr>
          <w:tblCellSpacing w:w="22" w:type="dxa"/>
        </w:trPr>
        <w:tc>
          <w:tcPr>
            <w:tcW w:w="1274" w:type="dxa"/>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hideMark/>
          </w:tcPr>
          <w:p w14:paraId="178AEB31" w14:textId="77777777" w:rsidR="00F1392F" w:rsidRPr="00F1392F" w:rsidRDefault="00F1392F" w:rsidP="00F1392F">
            <w:r w:rsidRPr="00F1392F">
              <w:t>9278</w:t>
            </w:r>
          </w:p>
        </w:tc>
        <w:tc>
          <w:tcPr>
            <w:tcW w:w="3916"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476D8134" w14:textId="77777777" w:rsidR="00F1392F" w:rsidRPr="00F1392F" w:rsidRDefault="00F1392F" w:rsidP="00F1392F">
            <w:r w:rsidRPr="00F1392F">
              <w:t>Results &amp; Activities</w:t>
            </w:r>
          </w:p>
        </w:tc>
        <w:tc>
          <w:tcPr>
            <w:tcW w:w="7616"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4F028FE4" w14:textId="77777777" w:rsidR="00F1392F" w:rsidRPr="00F1392F" w:rsidRDefault="00F1392F" w:rsidP="00F1392F">
            <w:hyperlink r:id="rId10" w:history="1">
              <w:r w:rsidRPr="00F1392F">
                <w:rPr>
                  <w:rStyle w:val="Hyperlink"/>
                </w:rPr>
                <w:t>CROSSTAB_Data</w:t>
              </w:r>
              <w:r w:rsidRPr="00F1392F">
                <w:rPr>
                  <w:rStyle w:val="Hyperlink"/>
                </w:rPr>
                <w:t>Nutrients (Template)</w:t>
              </w:r>
            </w:hyperlink>
          </w:p>
        </w:tc>
        <w:tc>
          <w:tcPr>
            <w:tcW w:w="4276"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3056FC2A" w14:textId="77777777" w:rsidR="00F1392F" w:rsidRPr="00F1392F" w:rsidRDefault="00F1392F" w:rsidP="00F1392F">
            <w:r w:rsidRPr="00F1392F">
              <w:t> </w:t>
            </w:r>
          </w:p>
        </w:tc>
        <w:tc>
          <w:tcPr>
            <w:tcW w:w="4254"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1414A509" w14:textId="77777777" w:rsidR="00F1392F" w:rsidRPr="00F1392F" w:rsidRDefault="00F1392F" w:rsidP="00F1392F">
            <w:proofErr w:type="gramStart"/>
            <w:r w:rsidRPr="00F1392F">
              <w:t>.WQX</w:t>
            </w:r>
            <w:proofErr w:type="gramEnd"/>
            <w:r w:rsidRPr="00F1392F">
              <w:t xml:space="preserve"> Web User</w:t>
            </w:r>
          </w:p>
        </w:tc>
      </w:tr>
      <w:tr w:rsidR="00F1392F" w:rsidRPr="00F1392F" w14:paraId="177A7E9F" w14:textId="77777777" w:rsidTr="005F54DE">
        <w:trPr>
          <w:tblCellSpacing w:w="22" w:type="dxa"/>
        </w:trPr>
        <w:tc>
          <w:tcPr>
            <w:tcW w:w="1274" w:type="dxa"/>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hideMark/>
          </w:tcPr>
          <w:p w14:paraId="2531761C" w14:textId="77777777" w:rsidR="00F1392F" w:rsidRPr="00F1392F" w:rsidRDefault="00F1392F" w:rsidP="00F1392F">
            <w:r w:rsidRPr="00F1392F">
              <w:t>9279</w:t>
            </w:r>
          </w:p>
        </w:tc>
        <w:tc>
          <w:tcPr>
            <w:tcW w:w="3916"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758CC871" w14:textId="77777777" w:rsidR="00F1392F" w:rsidRPr="00F1392F" w:rsidRDefault="00F1392F" w:rsidP="00F1392F">
            <w:r w:rsidRPr="00F1392F">
              <w:t>Results &amp; Activities</w:t>
            </w:r>
          </w:p>
        </w:tc>
        <w:tc>
          <w:tcPr>
            <w:tcW w:w="7616"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34F280B3" w14:textId="77777777" w:rsidR="00F1392F" w:rsidRPr="00F1392F" w:rsidRDefault="00F1392F" w:rsidP="00F1392F">
            <w:hyperlink r:id="rId11" w:history="1">
              <w:r w:rsidRPr="00F1392F">
                <w:rPr>
                  <w:rStyle w:val="Hyperlink"/>
                </w:rPr>
                <w:t>CROSSTAB_DataPhysicalChemical (Template)</w:t>
              </w:r>
            </w:hyperlink>
          </w:p>
        </w:tc>
        <w:tc>
          <w:tcPr>
            <w:tcW w:w="4276"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5640315C" w14:textId="77777777" w:rsidR="00F1392F" w:rsidRPr="00F1392F" w:rsidRDefault="00F1392F" w:rsidP="00F1392F">
            <w:r w:rsidRPr="00F1392F">
              <w:t> </w:t>
            </w:r>
          </w:p>
        </w:tc>
        <w:tc>
          <w:tcPr>
            <w:tcW w:w="4254" w:type="dxa"/>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hideMark/>
          </w:tcPr>
          <w:p w14:paraId="77B28A8F" w14:textId="77777777" w:rsidR="00F1392F" w:rsidRPr="00F1392F" w:rsidRDefault="00F1392F" w:rsidP="00F1392F">
            <w:proofErr w:type="gramStart"/>
            <w:r w:rsidRPr="00F1392F">
              <w:t>.WQX</w:t>
            </w:r>
            <w:proofErr w:type="gramEnd"/>
            <w:r w:rsidRPr="00F1392F">
              <w:t xml:space="preserve"> Web User</w:t>
            </w:r>
          </w:p>
        </w:tc>
      </w:tr>
    </w:tbl>
    <w:p w14:paraId="5DAF829F" w14:textId="77777777" w:rsidR="00F1392F" w:rsidRPr="00F1392F" w:rsidRDefault="00F1392F" w:rsidP="00F1392F"/>
    <w:p w14:paraId="3132FE61" w14:textId="77777777" w:rsidR="00F1392F" w:rsidRPr="00F1392F" w:rsidRDefault="00F1392F" w:rsidP="00F1392F">
      <w:r w:rsidRPr="00F1392F">
        <w:t xml:space="preserve">FILES:  </w:t>
      </w:r>
      <w:hyperlink r:id="rId12" w:history="1">
        <w:r w:rsidRPr="00F1392F">
          <w:rPr>
            <w:rStyle w:val="Hyperlink"/>
          </w:rPr>
          <w:t>https://gaftp.epa.gov/Storet/wqx/exa</w:t>
        </w:r>
        <w:r w:rsidRPr="00F1392F">
          <w:rPr>
            <w:rStyle w:val="Hyperlink"/>
          </w:rPr>
          <w:t>mples/CROSSTAB_WideFORMAT/</w:t>
        </w:r>
      </w:hyperlink>
    </w:p>
    <w:p w14:paraId="4D4CD58D" w14:textId="77777777" w:rsidR="00F1392F" w:rsidRPr="00F1392F" w:rsidRDefault="00F1392F" w:rsidP="00F1392F"/>
    <w:p w14:paraId="17A94F40" w14:textId="77777777" w:rsidR="00F1392F" w:rsidRPr="00F1392F" w:rsidRDefault="00F1392F" w:rsidP="00F1392F">
      <w:r w:rsidRPr="00F1392F">
        <w:t>Here are the Translation Macro functions</w:t>
      </w:r>
    </w:p>
    <w:p w14:paraId="55521999" w14:textId="77777777" w:rsidR="00F1392F" w:rsidRPr="00F1392F" w:rsidRDefault="00F1392F" w:rsidP="00F1392F"/>
    <w:tbl>
      <w:tblPr>
        <w:tblW w:w="13350" w:type="dxa"/>
        <w:shd w:val="clear" w:color="auto" w:fill="336699"/>
        <w:tblCellMar>
          <w:left w:w="0" w:type="dxa"/>
          <w:right w:w="0" w:type="dxa"/>
        </w:tblCellMar>
        <w:tblLook w:val="04A0" w:firstRow="1" w:lastRow="0" w:firstColumn="1" w:lastColumn="0" w:noHBand="0" w:noVBand="1"/>
      </w:tblPr>
      <w:tblGrid>
        <w:gridCol w:w="13350"/>
      </w:tblGrid>
      <w:tr w:rsidR="00F1392F" w:rsidRPr="00F1392F" w14:paraId="02C52906" w14:textId="77777777">
        <w:trPr>
          <w:trHeight w:val="120"/>
        </w:trPr>
        <w:tc>
          <w:tcPr>
            <w:tcW w:w="0" w:type="auto"/>
            <w:shd w:val="clear" w:color="auto" w:fill="336699"/>
            <w:hideMark/>
          </w:tcPr>
          <w:tbl>
            <w:tblPr>
              <w:tblpPr w:leftFromText="45" w:rightFromText="45" w:vertAnchor="text"/>
              <w:tblW w:w="13260" w:type="dxa"/>
              <w:tblCellMar>
                <w:left w:w="0" w:type="dxa"/>
                <w:right w:w="0" w:type="dxa"/>
              </w:tblCellMar>
              <w:tblLook w:val="04A0" w:firstRow="1" w:lastRow="0" w:firstColumn="1" w:lastColumn="0" w:noHBand="0" w:noVBand="1"/>
            </w:tblPr>
            <w:tblGrid>
              <w:gridCol w:w="240"/>
              <w:gridCol w:w="7893"/>
              <w:gridCol w:w="5127"/>
            </w:tblGrid>
            <w:tr w:rsidR="00F1392F" w:rsidRPr="00F1392F" w14:paraId="6B533ED0" w14:textId="77777777">
              <w:tc>
                <w:tcPr>
                  <w:tcW w:w="240" w:type="dxa"/>
                  <w:hideMark/>
                </w:tcPr>
                <w:p w14:paraId="49ACEA22" w14:textId="77777777" w:rsidR="00F1392F" w:rsidRPr="00F1392F" w:rsidRDefault="00F1392F" w:rsidP="00F1392F"/>
              </w:tc>
              <w:tc>
                <w:tcPr>
                  <w:tcW w:w="0" w:type="auto"/>
                  <w:hideMark/>
                </w:tcPr>
                <w:p w14:paraId="099EF53E" w14:textId="77777777" w:rsidR="00F1392F" w:rsidRPr="00F1392F" w:rsidRDefault="00F1392F" w:rsidP="00F1392F">
                  <w:r w:rsidRPr="00F1392F">
                    <w:rPr>
                      <w:b/>
                      <w:bCs/>
                      <w:i/>
                      <w:iCs/>
                    </w:rPr>
                    <w:t>Expression Builder</w:t>
                  </w:r>
                </w:p>
              </w:tc>
              <w:tc>
                <w:tcPr>
                  <w:tcW w:w="0" w:type="auto"/>
                  <w:noWrap/>
                  <w:hideMark/>
                </w:tcPr>
                <w:p w14:paraId="32330BAA" w14:textId="77777777" w:rsidR="00F1392F" w:rsidRPr="00F1392F" w:rsidRDefault="00F1392F" w:rsidP="00F1392F">
                  <w:pPr>
                    <w:numPr>
                      <w:ilvl w:val="0"/>
                      <w:numId w:val="31"/>
                    </w:numPr>
                  </w:pPr>
                  <w:hyperlink r:id="rId13" w:tooltip="Close" w:history="1">
                    <w:r w:rsidRPr="00F1392F">
                      <w:rPr>
                        <w:rStyle w:val="Hyperlink"/>
                      </w:rPr>
                      <w:t>Close</w:t>
                    </w:r>
                  </w:hyperlink>
                </w:p>
              </w:tc>
            </w:tr>
          </w:tbl>
          <w:p w14:paraId="739DAB65" w14:textId="77777777" w:rsidR="00F1392F" w:rsidRPr="00F1392F" w:rsidRDefault="00F1392F" w:rsidP="00F1392F"/>
        </w:tc>
      </w:tr>
      <w:tr w:rsidR="00F1392F" w:rsidRPr="00F1392F" w14:paraId="7D7C9CFA" w14:textId="77777777" w:rsidTr="00D553AF">
        <w:trPr>
          <w:trHeight w:val="2538"/>
        </w:trPr>
        <w:tc>
          <w:tcPr>
            <w:tcW w:w="0" w:type="auto"/>
            <w:shd w:val="clear" w:color="auto" w:fill="FFFFFF"/>
            <w:hideMark/>
          </w:tcPr>
          <w:p w14:paraId="60C36ADF" w14:textId="77777777" w:rsidR="00F1392F" w:rsidRPr="00F1392F" w:rsidRDefault="00F1392F" w:rsidP="00F1392F">
            <w:r w:rsidRPr="00F1392F">
              <w:lastRenderedPageBreak/>
              <w:t>Show the Quick Reference Allow me to test this expression</w:t>
            </w:r>
          </w:p>
          <w:tbl>
            <w:tblPr>
              <w:tblW w:w="0" w:type="auto"/>
              <w:tblCellSpacing w:w="22" w:type="dxa"/>
              <w:tblCellMar>
                <w:left w:w="0" w:type="dxa"/>
                <w:right w:w="0" w:type="dxa"/>
              </w:tblCellMar>
              <w:tblLook w:val="04A0" w:firstRow="1" w:lastRow="0" w:firstColumn="1" w:lastColumn="0" w:noHBand="0" w:noVBand="1"/>
            </w:tblPr>
            <w:tblGrid>
              <w:gridCol w:w="13038"/>
            </w:tblGrid>
            <w:tr w:rsidR="00F1392F" w:rsidRPr="00F1392F" w14:paraId="7A6A4A7E" w14:textId="77777777">
              <w:trPr>
                <w:tblCellSpacing w:w="22" w:type="dxa"/>
              </w:trPr>
              <w:tc>
                <w:tcPr>
                  <w:tcW w:w="0" w:type="auto"/>
                  <w:tcMar>
                    <w:top w:w="15" w:type="dxa"/>
                    <w:left w:w="15" w:type="dxa"/>
                    <w:bottom w:w="15" w:type="dxa"/>
                    <w:right w:w="15" w:type="dxa"/>
                  </w:tcMar>
                  <w:vAlign w:val="center"/>
                </w:tcPr>
                <w:tbl>
                  <w:tblPr>
                    <w:tblW w:w="12885" w:type="dxa"/>
                    <w:tblCellSpacing w:w="22" w:type="dxa"/>
                    <w:tblCellMar>
                      <w:left w:w="0" w:type="dxa"/>
                      <w:right w:w="0" w:type="dxa"/>
                    </w:tblCellMar>
                    <w:tblLook w:val="04A0" w:firstRow="1" w:lastRow="0" w:firstColumn="1" w:lastColumn="0" w:noHBand="0" w:noVBand="1"/>
                  </w:tblPr>
                  <w:tblGrid>
                    <w:gridCol w:w="6442"/>
                    <w:gridCol w:w="6443"/>
                  </w:tblGrid>
                  <w:tr w:rsidR="00F1392F" w:rsidRPr="00F1392F" w14:paraId="5629B7A6" w14:textId="77777777" w:rsidTr="005F54DE">
                    <w:trPr>
                      <w:tblHeader/>
                      <w:tblCellSpacing w:w="22" w:type="dxa"/>
                    </w:trPr>
                    <w:tc>
                      <w:tcPr>
                        <w:tcW w:w="6376" w:type="dxa"/>
                        <w:tcBorders>
                          <w:top w:val="nil"/>
                          <w:left w:val="single" w:sz="8" w:space="0" w:color="89AEE5"/>
                          <w:bottom w:val="single" w:sz="8" w:space="0" w:color="5D8CC9"/>
                          <w:right w:val="nil"/>
                        </w:tcBorders>
                        <w:shd w:val="clear" w:color="auto" w:fill="7DA5E0"/>
                        <w:tcMar>
                          <w:top w:w="75" w:type="dxa"/>
                          <w:left w:w="120" w:type="dxa"/>
                          <w:bottom w:w="60" w:type="dxa"/>
                          <w:right w:w="105" w:type="dxa"/>
                        </w:tcMar>
                        <w:vAlign w:val="center"/>
                        <w:hideMark/>
                      </w:tcPr>
                      <w:p w14:paraId="43E7E6D9" w14:textId="77777777" w:rsidR="00F1392F" w:rsidRPr="00F1392F" w:rsidRDefault="00F1392F" w:rsidP="00F1392F">
                        <w:r w:rsidRPr="00F1392F">
                          <w:t>Expression</w:t>
                        </w:r>
                      </w:p>
                    </w:tc>
                    <w:tc>
                      <w:tcPr>
                        <w:tcW w:w="6377" w:type="dxa"/>
                        <w:tcBorders>
                          <w:top w:val="nil"/>
                          <w:left w:val="single" w:sz="8" w:space="0" w:color="89AEE5"/>
                          <w:bottom w:val="single" w:sz="8" w:space="0" w:color="5D8CC9"/>
                          <w:right w:val="nil"/>
                        </w:tcBorders>
                        <w:shd w:val="clear" w:color="auto" w:fill="7DA5E0"/>
                        <w:tcMar>
                          <w:top w:w="75" w:type="dxa"/>
                          <w:left w:w="105" w:type="dxa"/>
                          <w:bottom w:w="60" w:type="dxa"/>
                          <w:right w:w="105" w:type="dxa"/>
                        </w:tcMar>
                        <w:vAlign w:val="center"/>
                        <w:hideMark/>
                      </w:tcPr>
                      <w:p w14:paraId="328FEAA6" w14:textId="77777777" w:rsidR="00F1392F" w:rsidRPr="00F1392F" w:rsidRDefault="00F1392F" w:rsidP="00F1392F">
                        <w:r w:rsidRPr="00F1392F">
                          <w:t>Example</w:t>
                        </w:r>
                      </w:p>
                    </w:tc>
                  </w:tr>
                </w:tbl>
                <w:p w14:paraId="197730E0" w14:textId="77777777" w:rsidR="00F1392F" w:rsidRPr="00F1392F" w:rsidRDefault="00F1392F" w:rsidP="00F1392F">
                  <w:pPr>
                    <w:rPr>
                      <w:vanish/>
                    </w:rPr>
                  </w:pPr>
                </w:p>
                <w:tbl>
                  <w:tblPr>
                    <w:tblW w:w="12900" w:type="dxa"/>
                    <w:tblCellSpacing w:w="22" w:type="dxa"/>
                    <w:tblCellMar>
                      <w:left w:w="0" w:type="dxa"/>
                      <w:right w:w="0" w:type="dxa"/>
                    </w:tblCellMar>
                    <w:tblLook w:val="04A0" w:firstRow="1" w:lastRow="0" w:firstColumn="1" w:lastColumn="0" w:noHBand="0" w:noVBand="1"/>
                  </w:tblPr>
                  <w:tblGrid>
                    <w:gridCol w:w="8885"/>
                    <w:gridCol w:w="4015"/>
                  </w:tblGrid>
                  <w:tr w:rsidR="00F1392F" w:rsidRPr="00F1392F" w14:paraId="448751C4"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0C9AC57D" w14:textId="77777777" w:rsidR="00F1392F" w:rsidRPr="00F1392F" w:rsidRDefault="00F1392F" w:rsidP="00F1392F">
                        <w:r w:rsidRPr="00F1392F">
                          <w:rPr>
                            <w:b/>
                            <w:bCs/>
                          </w:rPr>
                          <w:t>@ImportValue</w:t>
                        </w:r>
                        <w:r w:rsidRPr="00F1392F">
                          <w:br/>
                          <w:t>A token used in any expression to represent the value from your import file</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28970429" w14:textId="77777777" w:rsidR="00F1392F" w:rsidRPr="00F1392F" w:rsidRDefault="00F1392F" w:rsidP="00F1392F">
                        <w:r w:rsidRPr="00F1392F">
                          <w:t>=@ImportValue</w:t>
                        </w:r>
                      </w:p>
                    </w:tc>
                  </w:tr>
                  <w:tr w:rsidR="00F1392F" w:rsidRPr="00F1392F" w14:paraId="343F800E"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1658A0E0" w14:textId="77777777" w:rsidR="00F1392F" w:rsidRPr="00F1392F" w:rsidRDefault="00F1392F" w:rsidP="00F1392F">
                        <w:proofErr w:type="gramStart"/>
                        <w:r w:rsidRPr="00F1392F">
                          <w:rPr>
                            <w:b/>
                            <w:bCs/>
                          </w:rPr>
                          <w:t>Concatenate(</w:t>
                        </w:r>
                        <w:proofErr w:type="gramEnd"/>
                        <w:r w:rsidRPr="00F1392F">
                          <w:rPr>
                            <w:b/>
                            <w:bCs/>
                          </w:rPr>
                          <w:t>text1, text2, …)</w:t>
                        </w:r>
                        <w:r w:rsidRPr="00F1392F">
                          <w:br/>
                          <w:t>Joins several text strings into one text string</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61206E97" w14:textId="77777777" w:rsidR="00F1392F" w:rsidRPr="00F1392F" w:rsidRDefault="00F1392F" w:rsidP="00F1392F">
                        <w:r w:rsidRPr="00F1392F">
                          <w:t>=</w:t>
                        </w:r>
                        <w:proofErr w:type="gramStart"/>
                        <w:r w:rsidRPr="00F1392F">
                          <w:t>Concatenate(</w:t>
                        </w:r>
                        <w:proofErr w:type="gramEnd"/>
                        <w:r w:rsidRPr="00F1392F">
                          <w:t>@ImportValue, " PM")</w:t>
                        </w:r>
                      </w:p>
                    </w:tc>
                  </w:tr>
                  <w:tr w:rsidR="00F1392F" w:rsidRPr="00F1392F" w14:paraId="4A47B8A5"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032073D4" w14:textId="77777777" w:rsidR="00F1392F" w:rsidRPr="00F1392F" w:rsidRDefault="00F1392F" w:rsidP="00F1392F">
                        <w:proofErr w:type="gramStart"/>
                        <w:r w:rsidRPr="00F1392F">
                          <w:rPr>
                            <w:b/>
                            <w:bCs/>
                          </w:rPr>
                          <w:t>Left(</w:t>
                        </w:r>
                        <w:proofErr w:type="gramEnd"/>
                        <w:r w:rsidRPr="00F1392F">
                          <w:rPr>
                            <w:b/>
                            <w:bCs/>
                          </w:rPr>
                          <w:t>text, num_chars)</w:t>
                        </w:r>
                        <w:r w:rsidRPr="00F1392F">
                          <w:br/>
                          <w:t>Returns the specified number of characters from the start of a text string</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0F083E39" w14:textId="77777777" w:rsidR="00F1392F" w:rsidRPr="00F1392F" w:rsidRDefault="00F1392F" w:rsidP="00F1392F">
                        <w:r w:rsidRPr="00F1392F">
                          <w:t>=</w:t>
                        </w:r>
                        <w:proofErr w:type="gramStart"/>
                        <w:r w:rsidRPr="00F1392F">
                          <w:t>Left(</w:t>
                        </w:r>
                        <w:proofErr w:type="gramEnd"/>
                        <w:r w:rsidRPr="00F1392F">
                          <w:t>@ImportValue, 5)</w:t>
                        </w:r>
                      </w:p>
                    </w:tc>
                  </w:tr>
                  <w:tr w:rsidR="00F1392F" w:rsidRPr="00F1392F" w14:paraId="041E85BB"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3C837BAA" w14:textId="77777777" w:rsidR="00F1392F" w:rsidRPr="00F1392F" w:rsidRDefault="00F1392F" w:rsidP="00F1392F">
                        <w:proofErr w:type="gramStart"/>
                        <w:r w:rsidRPr="00F1392F">
                          <w:rPr>
                            <w:b/>
                            <w:bCs/>
                          </w:rPr>
                          <w:t>Mid(</w:t>
                        </w:r>
                        <w:proofErr w:type="gramEnd"/>
                        <w:r w:rsidRPr="00F1392F">
                          <w:rPr>
                            <w:b/>
                            <w:bCs/>
                          </w:rPr>
                          <w:t>text, start_num, num_chars)</w:t>
                        </w:r>
                        <w:r w:rsidRPr="00F1392F">
                          <w:br/>
                          <w:t>Returns the characters from the middle of a text string, given a starting position and length</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1B2C0DEA" w14:textId="77777777" w:rsidR="00F1392F" w:rsidRPr="00F1392F" w:rsidRDefault="00F1392F" w:rsidP="00F1392F">
                        <w:r w:rsidRPr="00F1392F">
                          <w:t>=</w:t>
                        </w:r>
                        <w:proofErr w:type="gramStart"/>
                        <w:r w:rsidRPr="00F1392F">
                          <w:t>Mid(</w:t>
                        </w:r>
                        <w:proofErr w:type="gramEnd"/>
                        <w:r w:rsidRPr="00F1392F">
                          <w:t>@ImportValue, 3, 5)</w:t>
                        </w:r>
                      </w:p>
                    </w:tc>
                  </w:tr>
                  <w:tr w:rsidR="00F1392F" w:rsidRPr="00F1392F" w14:paraId="64CD0553"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21FD017F" w14:textId="77777777" w:rsidR="00F1392F" w:rsidRPr="00F1392F" w:rsidRDefault="00F1392F" w:rsidP="00F1392F">
                        <w:proofErr w:type="gramStart"/>
                        <w:r w:rsidRPr="00F1392F">
                          <w:rPr>
                            <w:b/>
                            <w:bCs/>
                          </w:rPr>
                          <w:t>Right(</w:t>
                        </w:r>
                        <w:proofErr w:type="gramEnd"/>
                        <w:r w:rsidRPr="00F1392F">
                          <w:rPr>
                            <w:b/>
                            <w:bCs/>
                          </w:rPr>
                          <w:t>text, num_chars)</w:t>
                        </w:r>
                        <w:r w:rsidRPr="00F1392F">
                          <w:br/>
                          <w:t>Returns the specified number of characters from the end of a text string</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022F1F36" w14:textId="77777777" w:rsidR="00F1392F" w:rsidRPr="00F1392F" w:rsidRDefault="00F1392F" w:rsidP="00F1392F">
                        <w:r w:rsidRPr="00F1392F">
                          <w:t>=</w:t>
                        </w:r>
                        <w:proofErr w:type="gramStart"/>
                        <w:r w:rsidRPr="00F1392F">
                          <w:t>Right(</w:t>
                        </w:r>
                        <w:proofErr w:type="gramEnd"/>
                        <w:r w:rsidRPr="00F1392F">
                          <w:t>@ImportValue, 5)</w:t>
                        </w:r>
                      </w:p>
                    </w:tc>
                  </w:tr>
                  <w:tr w:rsidR="00F1392F" w:rsidRPr="00F1392F" w14:paraId="408B12A4"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28522F87" w14:textId="77777777" w:rsidR="00F1392F" w:rsidRPr="00F1392F" w:rsidRDefault="00F1392F" w:rsidP="00F1392F">
                        <w:proofErr w:type="gramStart"/>
                        <w:r w:rsidRPr="00F1392F">
                          <w:rPr>
                            <w:b/>
                            <w:bCs/>
                          </w:rPr>
                          <w:t>Split(</w:t>
                        </w:r>
                        <w:proofErr w:type="gramEnd"/>
                        <w:r w:rsidRPr="00F1392F">
                          <w:rPr>
                            <w:b/>
                            <w:bCs/>
                          </w:rPr>
                          <w:t>text, delimiter, section_to_return)</w:t>
                        </w:r>
                        <w:r w:rsidRPr="00F1392F">
                          <w:br/>
                          <w:t>Splits a text string on each delimiter and returns a specific section</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73F60783" w14:textId="77777777" w:rsidR="00F1392F" w:rsidRPr="00F1392F" w:rsidRDefault="00F1392F" w:rsidP="00F1392F">
                        <w:r w:rsidRPr="00F1392F">
                          <w:t>=</w:t>
                        </w:r>
                        <w:proofErr w:type="gramStart"/>
                        <w:r w:rsidRPr="00F1392F">
                          <w:t>Split(</w:t>
                        </w:r>
                        <w:proofErr w:type="gramEnd"/>
                        <w:r w:rsidRPr="00F1392F">
                          <w:t>@ImportValue, "~", 2)</w:t>
                        </w:r>
                      </w:p>
                    </w:tc>
                  </w:tr>
                  <w:tr w:rsidR="00F1392F" w:rsidRPr="00F1392F" w14:paraId="20B83095"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325706B4" w14:textId="77777777" w:rsidR="00F1392F" w:rsidRPr="00F1392F" w:rsidRDefault="00F1392F" w:rsidP="00F1392F">
                        <w:proofErr w:type="gramStart"/>
                        <w:r w:rsidRPr="00F1392F">
                          <w:rPr>
                            <w:b/>
                            <w:bCs/>
                          </w:rPr>
                          <w:lastRenderedPageBreak/>
                          <w:t>Substitute(</w:t>
                        </w:r>
                        <w:proofErr w:type="gramEnd"/>
                        <w:r w:rsidRPr="00F1392F">
                          <w:rPr>
                            <w:b/>
                            <w:bCs/>
                          </w:rPr>
                          <w:t>text, old_text, new_text)</w:t>
                        </w:r>
                        <w:r w:rsidRPr="00F1392F">
                          <w:br/>
                          <w:t>Replaces existing text with new text in a text string</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4FA8FB29" w14:textId="77777777" w:rsidR="00F1392F" w:rsidRPr="00F1392F" w:rsidRDefault="00F1392F" w:rsidP="00F1392F">
                        <w:r w:rsidRPr="00F1392F">
                          <w:t>=</w:t>
                        </w:r>
                        <w:proofErr w:type="gramStart"/>
                        <w:r w:rsidRPr="00F1392F">
                          <w:t>Substitute(</w:t>
                        </w:r>
                        <w:proofErr w:type="gramEnd"/>
                        <w:r w:rsidRPr="00F1392F">
                          <w:t>@ImportValue, "&gt;", "")</w:t>
                        </w:r>
                      </w:p>
                    </w:tc>
                  </w:tr>
                  <w:tr w:rsidR="00F1392F" w:rsidRPr="00F1392F" w14:paraId="5CC8E7FA" w14:textId="77777777">
                    <w:trPr>
                      <w:tblCellSpacing w:w="22" w:type="dxa"/>
                    </w:trPr>
                    <w:tc>
                      <w:tcPr>
                        <w:tcW w:w="0" w:type="auto"/>
                        <w:tcBorders>
                          <w:top w:val="single" w:sz="8" w:space="0" w:color="D0D7E5"/>
                          <w:left w:val="single" w:sz="8" w:space="0" w:color="D0D7E5"/>
                          <w:bottom w:val="single" w:sz="8" w:space="0" w:color="D0D7E5"/>
                          <w:right w:val="single" w:sz="8" w:space="0" w:color="D0D7E5"/>
                        </w:tcBorders>
                        <w:tcMar>
                          <w:top w:w="60" w:type="dxa"/>
                          <w:left w:w="120" w:type="dxa"/>
                          <w:bottom w:w="45" w:type="dxa"/>
                          <w:right w:w="105" w:type="dxa"/>
                        </w:tcMar>
                        <w:vAlign w:val="center"/>
                        <w:hideMark/>
                      </w:tcPr>
                      <w:p w14:paraId="552C920E" w14:textId="77777777" w:rsidR="00F1392F" w:rsidRPr="00F1392F" w:rsidRDefault="00F1392F" w:rsidP="00F1392F">
                        <w:r w:rsidRPr="00F1392F">
                          <w:rPr>
                            <w:b/>
                            <w:bCs/>
                          </w:rPr>
                          <w:t>Trim(text)</w:t>
                        </w:r>
                        <w:r w:rsidRPr="00F1392F">
                          <w:br/>
                          <w:t>Removes all spaces from a text string except for single spaces between words</w:t>
                        </w:r>
                      </w:p>
                    </w:tc>
                    <w:tc>
                      <w:tcPr>
                        <w:tcW w:w="0" w:type="auto"/>
                        <w:tcBorders>
                          <w:top w:val="single" w:sz="8" w:space="0" w:color="D0D7E5"/>
                          <w:left w:val="single" w:sz="8" w:space="0" w:color="D0D7E5"/>
                          <w:bottom w:val="single" w:sz="8" w:space="0" w:color="D0D7E5"/>
                          <w:right w:val="single" w:sz="8" w:space="0" w:color="D0D7E5"/>
                        </w:tcBorders>
                        <w:tcMar>
                          <w:top w:w="60" w:type="dxa"/>
                          <w:left w:w="105" w:type="dxa"/>
                          <w:bottom w:w="45" w:type="dxa"/>
                          <w:right w:w="105" w:type="dxa"/>
                        </w:tcMar>
                        <w:vAlign w:val="center"/>
                        <w:hideMark/>
                      </w:tcPr>
                      <w:p w14:paraId="29EBF954" w14:textId="77777777" w:rsidR="00F1392F" w:rsidRPr="00F1392F" w:rsidRDefault="00F1392F" w:rsidP="00F1392F">
                        <w:r w:rsidRPr="00F1392F">
                          <w:t>=Trim(@ImportValue)</w:t>
                        </w:r>
                      </w:p>
                    </w:tc>
                  </w:tr>
                </w:tbl>
                <w:p w14:paraId="22784135" w14:textId="77777777" w:rsidR="00F1392F" w:rsidRPr="00F1392F" w:rsidRDefault="00F1392F" w:rsidP="00F1392F"/>
              </w:tc>
            </w:tr>
          </w:tbl>
          <w:p w14:paraId="5AB8C579" w14:textId="77777777" w:rsidR="00F1392F" w:rsidRPr="00F1392F" w:rsidRDefault="00F1392F" w:rsidP="00F1392F"/>
        </w:tc>
      </w:tr>
    </w:tbl>
    <w:p w14:paraId="309F23D9" w14:textId="77777777" w:rsidR="00F1392F" w:rsidRDefault="00F1392F" w:rsidP="00F1392F"/>
    <w:p w14:paraId="4250BE0D" w14:textId="20ED9423" w:rsidR="00F1392F" w:rsidRDefault="00F1392F" w:rsidP="00F1392F">
      <w:r w:rsidRPr="003E740F">
        <w:rPr>
          <w:b/>
          <w:bCs/>
        </w:rPr>
        <w:t>Example</w:t>
      </w:r>
      <w:r>
        <w:t xml:space="preserve"> EXPRESSIONS:</w:t>
      </w:r>
    </w:p>
    <w:tbl>
      <w:tblPr>
        <w:tblW w:w="14400" w:type="dxa"/>
        <w:tblLook w:val="04A0" w:firstRow="1" w:lastRow="0" w:firstColumn="1" w:lastColumn="0" w:noHBand="0" w:noVBand="1"/>
      </w:tblPr>
      <w:tblGrid>
        <w:gridCol w:w="1763"/>
        <w:gridCol w:w="9360"/>
        <w:gridCol w:w="3277"/>
      </w:tblGrid>
      <w:tr w:rsidR="00154B15" w:rsidRPr="005F54DE" w14:paraId="74B1E4B6" w14:textId="1D678043" w:rsidTr="00154B15">
        <w:trPr>
          <w:trHeight w:val="300"/>
        </w:trPr>
        <w:tc>
          <w:tcPr>
            <w:tcW w:w="1763" w:type="dxa"/>
            <w:tcBorders>
              <w:top w:val="nil"/>
              <w:left w:val="nil"/>
              <w:bottom w:val="nil"/>
              <w:right w:val="nil"/>
            </w:tcBorders>
          </w:tcPr>
          <w:p w14:paraId="57DD4792" w14:textId="0C1F338D" w:rsidR="00154B15" w:rsidRPr="005F54DE" w:rsidRDefault="00154B15" w:rsidP="005F54DE">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Test value</w:t>
            </w:r>
          </w:p>
        </w:tc>
        <w:tc>
          <w:tcPr>
            <w:tcW w:w="9360" w:type="dxa"/>
            <w:tcBorders>
              <w:top w:val="nil"/>
              <w:left w:val="nil"/>
              <w:bottom w:val="nil"/>
              <w:right w:val="nil"/>
            </w:tcBorders>
            <w:noWrap/>
            <w:vAlign w:val="bottom"/>
          </w:tcPr>
          <w:p w14:paraId="5F0F9AC8" w14:textId="77777777" w:rsidR="00154B15" w:rsidRPr="005F54DE" w:rsidRDefault="00154B15" w:rsidP="005F54DE">
            <w:pPr>
              <w:spacing w:after="0" w:line="240" w:lineRule="auto"/>
              <w:rPr>
                <w:rFonts w:ascii="Calibri" w:eastAsia="Times New Roman" w:hAnsi="Calibri" w:cs="Calibri"/>
                <w:color w:val="000000"/>
                <w:kern w:val="0"/>
                <w:sz w:val="22"/>
                <w:szCs w:val="22"/>
                <w14:ligatures w14:val="none"/>
              </w:rPr>
            </w:pPr>
          </w:p>
        </w:tc>
        <w:tc>
          <w:tcPr>
            <w:tcW w:w="3277" w:type="dxa"/>
            <w:tcBorders>
              <w:top w:val="nil"/>
              <w:left w:val="nil"/>
              <w:bottom w:val="nil"/>
              <w:right w:val="nil"/>
            </w:tcBorders>
          </w:tcPr>
          <w:p w14:paraId="26B04084" w14:textId="2307DB7F" w:rsidR="00154B15" w:rsidRPr="005F54DE" w:rsidRDefault="00154B15" w:rsidP="005F54DE">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Format</w:t>
            </w:r>
          </w:p>
        </w:tc>
      </w:tr>
      <w:tr w:rsidR="00154B15" w:rsidRPr="005F54DE" w14:paraId="5F5564F9" w14:textId="7DE7FFFA" w:rsidTr="00154B15">
        <w:trPr>
          <w:trHeight w:val="300"/>
        </w:trPr>
        <w:tc>
          <w:tcPr>
            <w:tcW w:w="1763" w:type="dxa"/>
            <w:tcBorders>
              <w:top w:val="nil"/>
              <w:left w:val="nil"/>
              <w:bottom w:val="nil"/>
              <w:right w:val="nil"/>
            </w:tcBorders>
          </w:tcPr>
          <w:p w14:paraId="0E3E858D" w14:textId="23FD87E8" w:rsidR="00154B15" w:rsidRPr="005F54DE" w:rsidRDefault="00154B15" w:rsidP="00154B15">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01-MAY-25</w:t>
            </w:r>
          </w:p>
        </w:tc>
        <w:tc>
          <w:tcPr>
            <w:tcW w:w="9360" w:type="dxa"/>
            <w:tcBorders>
              <w:top w:val="nil"/>
              <w:left w:val="nil"/>
              <w:bottom w:val="nil"/>
              <w:right w:val="nil"/>
            </w:tcBorders>
            <w:noWrap/>
            <w:vAlign w:val="bottom"/>
            <w:hideMark/>
          </w:tcPr>
          <w:p w14:paraId="0047D8D0" w14:textId="57AC762D" w:rsidR="00154B15" w:rsidRPr="005F54DE" w:rsidRDefault="00154B15" w:rsidP="00154B15">
            <w:pPr>
              <w:spacing w:after="0" w:line="240" w:lineRule="auto"/>
              <w:rPr>
                <w:rFonts w:ascii="Calibri" w:eastAsia="Times New Roman" w:hAnsi="Calibri" w:cs="Calibri"/>
                <w:color w:val="000000"/>
                <w:kern w:val="0"/>
                <w:sz w:val="22"/>
                <w:szCs w:val="22"/>
                <w14:ligatures w14:val="none"/>
              </w:rPr>
            </w:pPr>
            <w:r w:rsidRPr="005F54DE">
              <w:rPr>
                <w:rFonts w:ascii="Calibri" w:eastAsia="Times New Roman" w:hAnsi="Calibri" w:cs="Calibri"/>
                <w:color w:val="000000"/>
                <w:kern w:val="0"/>
                <w:sz w:val="22"/>
                <w:szCs w:val="22"/>
                <w14:ligatures w14:val="none"/>
              </w:rPr>
              <w:t>=Substitute(Substitute(Substitute(Substitute(Substitute(Substitute( Substitute(Substitute(Substitute(Substitute(Substitute(Substitute( Substitute(Substitute(Substitute(Substitute(Substitute(Substitute( Substitute(Substitute(Substitute(Substitute(Substitute(Substitute( Concatenate(Split(@ImportValue, "-", 2), "/", Split(@ImportValue, "-", 1), "/20",  Split(@ImportValue, "-", 3)),  "JAN", "01"), "FEB", "02"), "MAR", "03"), "APR", "04"), "MAY", "05"), "JUN", "06"), "JUL", "07"), "AUG", "08"), "SEP", "09"), "OCT", "10"), "NOV", "11"), "DEC", "12"), "Jan", "01"), "Feb", "02"), "Mar", "03"), "Apr", "04"), "May", "05"), "Jun", "06"), "Jul", "07"), "Aug", "08"), "Sep", "09"), "Oct", "10"), "Nov", "11"), "Dec", "12")</w:t>
            </w:r>
          </w:p>
        </w:tc>
        <w:tc>
          <w:tcPr>
            <w:tcW w:w="3277" w:type="dxa"/>
            <w:tcBorders>
              <w:top w:val="nil"/>
              <w:left w:val="nil"/>
              <w:bottom w:val="nil"/>
              <w:right w:val="nil"/>
            </w:tcBorders>
          </w:tcPr>
          <w:p w14:paraId="4854269C" w14:textId="53720073" w:rsidR="00154B15" w:rsidRPr="005F54DE" w:rsidRDefault="00154B15" w:rsidP="00154B15">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MM/DD/YYYY</w:t>
            </w:r>
          </w:p>
        </w:tc>
      </w:tr>
      <w:tr w:rsidR="00154B15" w:rsidRPr="005F54DE" w14:paraId="21D1CC7F" w14:textId="477379AC" w:rsidTr="00154B15">
        <w:trPr>
          <w:trHeight w:val="300"/>
        </w:trPr>
        <w:tc>
          <w:tcPr>
            <w:tcW w:w="1763" w:type="dxa"/>
            <w:tcBorders>
              <w:top w:val="nil"/>
              <w:left w:val="nil"/>
              <w:bottom w:val="nil"/>
              <w:right w:val="nil"/>
            </w:tcBorders>
          </w:tcPr>
          <w:p w14:paraId="699C63F7" w14:textId="555861F1" w:rsidR="00154B15" w:rsidRPr="005F54DE" w:rsidRDefault="00550881" w:rsidP="00154B15">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20250501</w:t>
            </w:r>
          </w:p>
        </w:tc>
        <w:tc>
          <w:tcPr>
            <w:tcW w:w="9360" w:type="dxa"/>
            <w:tcBorders>
              <w:top w:val="nil"/>
              <w:left w:val="nil"/>
              <w:bottom w:val="nil"/>
              <w:right w:val="nil"/>
            </w:tcBorders>
            <w:noWrap/>
            <w:vAlign w:val="bottom"/>
            <w:hideMark/>
          </w:tcPr>
          <w:p w14:paraId="2FB3DA7D" w14:textId="77777777" w:rsidR="00154B15" w:rsidRPr="005F54DE" w:rsidRDefault="00154B15" w:rsidP="00154B15">
            <w:pPr>
              <w:spacing w:after="0" w:line="240" w:lineRule="auto"/>
              <w:rPr>
                <w:rFonts w:ascii="Calibri" w:eastAsia="Times New Roman" w:hAnsi="Calibri" w:cs="Calibri"/>
                <w:color w:val="000000"/>
                <w:kern w:val="0"/>
                <w:sz w:val="22"/>
                <w:szCs w:val="22"/>
                <w14:ligatures w14:val="none"/>
              </w:rPr>
            </w:pPr>
            <w:r w:rsidRPr="005F54DE">
              <w:rPr>
                <w:rFonts w:ascii="Calibri" w:eastAsia="Times New Roman" w:hAnsi="Calibri" w:cs="Calibri"/>
                <w:color w:val="000000"/>
                <w:kern w:val="0"/>
                <w:sz w:val="22"/>
                <w:szCs w:val="22"/>
                <w14:ligatures w14:val="none"/>
              </w:rPr>
              <w:t>=</w:t>
            </w:r>
            <w:proofErr w:type="gramStart"/>
            <w:r w:rsidRPr="005F54DE">
              <w:rPr>
                <w:rFonts w:ascii="Calibri" w:eastAsia="Times New Roman" w:hAnsi="Calibri" w:cs="Calibri"/>
                <w:color w:val="000000"/>
                <w:kern w:val="0"/>
                <w:sz w:val="22"/>
                <w:szCs w:val="22"/>
                <w14:ligatures w14:val="none"/>
              </w:rPr>
              <w:t>CONCATENATE(MID(</w:t>
            </w:r>
            <w:proofErr w:type="gramEnd"/>
            <w:r w:rsidRPr="005F54DE">
              <w:rPr>
                <w:rFonts w:ascii="Calibri" w:eastAsia="Times New Roman" w:hAnsi="Calibri" w:cs="Calibri"/>
                <w:color w:val="000000"/>
                <w:kern w:val="0"/>
                <w:sz w:val="22"/>
                <w:szCs w:val="22"/>
                <w14:ligatures w14:val="none"/>
              </w:rPr>
              <w:t>@ImportValue, 1, 4),"/</w:t>
            </w:r>
            <w:proofErr w:type="gramStart"/>
            <w:r w:rsidRPr="005F54DE">
              <w:rPr>
                <w:rFonts w:ascii="Calibri" w:eastAsia="Times New Roman" w:hAnsi="Calibri" w:cs="Calibri"/>
                <w:color w:val="000000"/>
                <w:kern w:val="0"/>
                <w:sz w:val="22"/>
                <w:szCs w:val="22"/>
                <w14:ligatures w14:val="none"/>
              </w:rPr>
              <w:t>",MID</w:t>
            </w:r>
            <w:proofErr w:type="gramEnd"/>
            <w:r w:rsidRPr="005F54DE">
              <w:rPr>
                <w:rFonts w:ascii="Calibri" w:eastAsia="Times New Roman" w:hAnsi="Calibri" w:cs="Calibri"/>
                <w:color w:val="000000"/>
                <w:kern w:val="0"/>
                <w:sz w:val="22"/>
                <w:szCs w:val="22"/>
                <w14:ligatures w14:val="none"/>
              </w:rPr>
              <w:t>(@ImportValue, 5, 2),"/</w:t>
            </w:r>
            <w:proofErr w:type="gramStart"/>
            <w:r w:rsidRPr="005F54DE">
              <w:rPr>
                <w:rFonts w:ascii="Calibri" w:eastAsia="Times New Roman" w:hAnsi="Calibri" w:cs="Calibri"/>
                <w:color w:val="000000"/>
                <w:kern w:val="0"/>
                <w:sz w:val="22"/>
                <w:szCs w:val="22"/>
                <w14:ligatures w14:val="none"/>
              </w:rPr>
              <w:t>",MID</w:t>
            </w:r>
            <w:proofErr w:type="gramEnd"/>
            <w:r w:rsidRPr="005F54DE">
              <w:rPr>
                <w:rFonts w:ascii="Calibri" w:eastAsia="Times New Roman" w:hAnsi="Calibri" w:cs="Calibri"/>
                <w:color w:val="000000"/>
                <w:kern w:val="0"/>
                <w:sz w:val="22"/>
                <w:szCs w:val="22"/>
                <w14:ligatures w14:val="none"/>
              </w:rPr>
              <w:t>(@ImportValue, 7, 2))</w:t>
            </w:r>
          </w:p>
        </w:tc>
        <w:tc>
          <w:tcPr>
            <w:tcW w:w="3277" w:type="dxa"/>
            <w:tcBorders>
              <w:top w:val="nil"/>
              <w:left w:val="nil"/>
              <w:bottom w:val="nil"/>
              <w:right w:val="nil"/>
            </w:tcBorders>
          </w:tcPr>
          <w:p w14:paraId="340F9DCB" w14:textId="766C80AC" w:rsidR="00154B15" w:rsidRPr="005F54DE" w:rsidRDefault="00154B15" w:rsidP="00154B15">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YYYY</w:t>
            </w:r>
            <w:r w:rsidR="00550881">
              <w:rPr>
                <w:rFonts w:ascii="Calibri" w:eastAsia="Times New Roman" w:hAnsi="Calibri" w:cs="Calibri"/>
                <w:color w:val="000000"/>
                <w:kern w:val="0"/>
                <w:sz w:val="22"/>
                <w:szCs w:val="22"/>
                <w14:ligatures w14:val="none"/>
              </w:rPr>
              <w:t>/</w:t>
            </w:r>
            <w:r w:rsidR="00550881">
              <w:rPr>
                <w:rFonts w:ascii="Calibri" w:eastAsia="Times New Roman" w:hAnsi="Calibri" w:cs="Calibri"/>
                <w:color w:val="000000"/>
                <w:kern w:val="0"/>
                <w:sz w:val="22"/>
                <w:szCs w:val="22"/>
                <w14:ligatures w14:val="none"/>
              </w:rPr>
              <w:t>MM/DD</w:t>
            </w:r>
          </w:p>
        </w:tc>
      </w:tr>
      <w:tr w:rsidR="00154B15" w:rsidRPr="005F54DE" w14:paraId="038E0E0C" w14:textId="733C6522" w:rsidTr="00154B15">
        <w:trPr>
          <w:trHeight w:val="300"/>
        </w:trPr>
        <w:tc>
          <w:tcPr>
            <w:tcW w:w="1763" w:type="dxa"/>
            <w:tcBorders>
              <w:top w:val="nil"/>
              <w:left w:val="nil"/>
              <w:bottom w:val="nil"/>
              <w:right w:val="nil"/>
            </w:tcBorders>
          </w:tcPr>
          <w:p w14:paraId="089EEADF" w14:textId="00B989D6" w:rsidR="00154B15" w:rsidRPr="005F54DE" w:rsidRDefault="00154B15" w:rsidP="00154B15">
            <w:pPr>
              <w:spacing w:after="0" w:line="240" w:lineRule="auto"/>
              <w:rPr>
                <w:rFonts w:ascii="Calibri" w:eastAsia="Times New Roman" w:hAnsi="Calibri" w:cs="Calibri"/>
                <w:color w:val="000000"/>
                <w:kern w:val="0"/>
                <w:sz w:val="22"/>
                <w:szCs w:val="22"/>
                <w14:ligatures w14:val="none"/>
              </w:rPr>
            </w:pPr>
          </w:p>
        </w:tc>
        <w:tc>
          <w:tcPr>
            <w:tcW w:w="9360" w:type="dxa"/>
            <w:tcBorders>
              <w:top w:val="nil"/>
              <w:left w:val="nil"/>
              <w:bottom w:val="nil"/>
              <w:right w:val="nil"/>
            </w:tcBorders>
            <w:noWrap/>
            <w:vAlign w:val="bottom"/>
            <w:hideMark/>
          </w:tcPr>
          <w:p w14:paraId="53A53278" w14:textId="3EF2BC43" w:rsidR="00154B15" w:rsidRPr="005F54DE" w:rsidRDefault="00154B15" w:rsidP="00154B15">
            <w:pPr>
              <w:spacing w:after="0" w:line="240" w:lineRule="auto"/>
              <w:rPr>
                <w:rFonts w:ascii="Calibri" w:eastAsia="Times New Roman" w:hAnsi="Calibri" w:cs="Calibri"/>
                <w:color w:val="000000"/>
                <w:kern w:val="0"/>
                <w:sz w:val="22"/>
                <w:szCs w:val="22"/>
                <w14:ligatures w14:val="none"/>
              </w:rPr>
            </w:pPr>
            <w:r w:rsidRPr="005F54DE">
              <w:rPr>
                <w:rFonts w:ascii="Calibri" w:eastAsia="Times New Roman" w:hAnsi="Calibri" w:cs="Calibri"/>
                <w:color w:val="000000"/>
                <w:kern w:val="0"/>
                <w:sz w:val="22"/>
                <w:szCs w:val="22"/>
                <w14:ligatures w14:val="none"/>
              </w:rPr>
              <w:t>=</w:t>
            </w:r>
            <w:proofErr w:type="gramStart"/>
            <w:r w:rsidRPr="005F54DE">
              <w:rPr>
                <w:rFonts w:ascii="Calibri" w:eastAsia="Times New Roman" w:hAnsi="Calibri" w:cs="Calibri"/>
                <w:color w:val="000000"/>
                <w:kern w:val="0"/>
                <w:sz w:val="22"/>
                <w:szCs w:val="22"/>
                <w14:ligatures w14:val="none"/>
              </w:rPr>
              <w:t>CONCATENATE(MID(</w:t>
            </w:r>
            <w:proofErr w:type="gramEnd"/>
            <w:r w:rsidRPr="005F54DE">
              <w:rPr>
                <w:rFonts w:ascii="Calibri" w:eastAsia="Times New Roman" w:hAnsi="Calibri" w:cs="Calibri"/>
                <w:color w:val="000000"/>
                <w:kern w:val="0"/>
                <w:sz w:val="22"/>
                <w:szCs w:val="22"/>
                <w14:ligatures w14:val="none"/>
              </w:rPr>
              <w:t>@ImportValue, 5, 2),"/</w:t>
            </w:r>
            <w:proofErr w:type="gramStart"/>
            <w:r w:rsidRPr="005F54DE">
              <w:rPr>
                <w:rFonts w:ascii="Calibri" w:eastAsia="Times New Roman" w:hAnsi="Calibri" w:cs="Calibri"/>
                <w:color w:val="000000"/>
                <w:kern w:val="0"/>
                <w:sz w:val="22"/>
                <w:szCs w:val="22"/>
                <w14:ligatures w14:val="none"/>
              </w:rPr>
              <w:t>",MID</w:t>
            </w:r>
            <w:proofErr w:type="gramEnd"/>
            <w:r w:rsidRPr="005F54DE">
              <w:rPr>
                <w:rFonts w:ascii="Calibri" w:eastAsia="Times New Roman" w:hAnsi="Calibri" w:cs="Calibri"/>
                <w:color w:val="000000"/>
                <w:kern w:val="0"/>
                <w:sz w:val="22"/>
                <w:szCs w:val="22"/>
                <w14:ligatures w14:val="none"/>
              </w:rPr>
              <w:t>(@ImportValue, 7, 2)</w:t>
            </w:r>
            <w:r>
              <w:rPr>
                <w:rFonts w:ascii="Calibri" w:eastAsia="Times New Roman" w:hAnsi="Calibri" w:cs="Calibri"/>
                <w:color w:val="000000"/>
                <w:kern w:val="0"/>
                <w:sz w:val="22"/>
                <w:szCs w:val="22"/>
                <w14:ligatures w14:val="none"/>
              </w:rPr>
              <w:t>,</w:t>
            </w:r>
            <w:r w:rsidRPr="005F54DE">
              <w:rPr>
                <w:rFonts w:ascii="Calibri" w:eastAsia="Times New Roman" w:hAnsi="Calibri" w:cs="Calibri"/>
                <w:color w:val="000000"/>
                <w:kern w:val="0"/>
                <w:sz w:val="22"/>
                <w:szCs w:val="22"/>
                <w14:ligatures w14:val="none"/>
              </w:rPr>
              <w:t xml:space="preserve"> </w:t>
            </w:r>
            <w:r w:rsidRPr="005F54DE">
              <w:rPr>
                <w:rFonts w:ascii="Calibri" w:eastAsia="Times New Roman" w:hAnsi="Calibri" w:cs="Calibri"/>
                <w:color w:val="000000"/>
                <w:kern w:val="0"/>
                <w:sz w:val="22"/>
                <w:szCs w:val="22"/>
                <w14:ligatures w14:val="none"/>
              </w:rPr>
              <w:t>"/",</w:t>
            </w:r>
            <w:r w:rsidRPr="005F54DE">
              <w:rPr>
                <w:rFonts w:ascii="Calibri" w:eastAsia="Times New Roman" w:hAnsi="Calibri" w:cs="Calibri"/>
                <w:color w:val="000000"/>
                <w:kern w:val="0"/>
                <w:sz w:val="22"/>
                <w:szCs w:val="22"/>
                <w14:ligatures w14:val="none"/>
              </w:rPr>
              <w:t xml:space="preserve"> </w:t>
            </w:r>
            <w:proofErr w:type="gramStart"/>
            <w:r w:rsidRPr="005F54DE">
              <w:rPr>
                <w:rFonts w:ascii="Calibri" w:eastAsia="Times New Roman" w:hAnsi="Calibri" w:cs="Calibri"/>
                <w:color w:val="000000"/>
                <w:kern w:val="0"/>
                <w:sz w:val="22"/>
                <w:szCs w:val="22"/>
                <w14:ligatures w14:val="none"/>
              </w:rPr>
              <w:t>MID(</w:t>
            </w:r>
            <w:proofErr w:type="gramEnd"/>
            <w:r w:rsidRPr="005F54DE">
              <w:rPr>
                <w:rFonts w:ascii="Calibri" w:eastAsia="Times New Roman" w:hAnsi="Calibri" w:cs="Calibri"/>
                <w:color w:val="000000"/>
                <w:kern w:val="0"/>
                <w:sz w:val="22"/>
                <w:szCs w:val="22"/>
                <w14:ligatures w14:val="none"/>
              </w:rPr>
              <w:t>@ImportValue, 1, 4))</w:t>
            </w:r>
          </w:p>
        </w:tc>
        <w:tc>
          <w:tcPr>
            <w:tcW w:w="3277" w:type="dxa"/>
            <w:tcBorders>
              <w:top w:val="nil"/>
              <w:left w:val="nil"/>
              <w:bottom w:val="nil"/>
              <w:right w:val="nil"/>
            </w:tcBorders>
          </w:tcPr>
          <w:p w14:paraId="6F00AD3A" w14:textId="5D978D7E" w:rsidR="00154B15" w:rsidRPr="005F54DE" w:rsidRDefault="00550881" w:rsidP="00154B15">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MM/DD/YYYY</w:t>
            </w:r>
          </w:p>
        </w:tc>
      </w:tr>
      <w:tr w:rsidR="005139BC" w:rsidRPr="005F54DE" w14:paraId="72B743C6" w14:textId="764CF87C" w:rsidTr="00154B15">
        <w:trPr>
          <w:trHeight w:val="300"/>
        </w:trPr>
        <w:tc>
          <w:tcPr>
            <w:tcW w:w="1763" w:type="dxa"/>
            <w:tcBorders>
              <w:top w:val="nil"/>
              <w:left w:val="nil"/>
              <w:bottom w:val="nil"/>
              <w:right w:val="nil"/>
            </w:tcBorders>
          </w:tcPr>
          <w:p w14:paraId="0FAC9288" w14:textId="3B91505A" w:rsidR="005139BC" w:rsidRPr="005F54DE" w:rsidRDefault="005139BC" w:rsidP="005139BC">
            <w:pPr>
              <w:spacing w:after="0" w:line="240" w:lineRule="auto"/>
              <w:rPr>
                <w:rFonts w:ascii="Calibri" w:eastAsia="Times New Roman" w:hAnsi="Calibri" w:cs="Calibri"/>
                <w:color w:val="000000"/>
                <w:kern w:val="0"/>
                <w:sz w:val="22"/>
                <w:szCs w:val="22"/>
                <w14:ligatures w14:val="none"/>
              </w:rPr>
            </w:pPr>
          </w:p>
        </w:tc>
        <w:tc>
          <w:tcPr>
            <w:tcW w:w="9360" w:type="dxa"/>
            <w:tcBorders>
              <w:top w:val="nil"/>
              <w:left w:val="nil"/>
              <w:bottom w:val="nil"/>
              <w:right w:val="nil"/>
            </w:tcBorders>
            <w:noWrap/>
            <w:vAlign w:val="bottom"/>
            <w:hideMark/>
          </w:tcPr>
          <w:p w14:paraId="6A0F9440" w14:textId="41ABEAFF" w:rsidR="005139BC" w:rsidRPr="005F54DE" w:rsidRDefault="005139BC" w:rsidP="005139BC">
            <w:pPr>
              <w:spacing w:after="0" w:line="240" w:lineRule="auto"/>
              <w:rPr>
                <w:rFonts w:ascii="Calibri" w:eastAsia="Times New Roman" w:hAnsi="Calibri" w:cs="Calibri"/>
                <w:color w:val="000000"/>
                <w:kern w:val="0"/>
                <w:sz w:val="22"/>
                <w:szCs w:val="22"/>
                <w14:ligatures w14:val="none"/>
              </w:rPr>
            </w:pPr>
            <w:r w:rsidRPr="005F54DE">
              <w:rPr>
                <w:rFonts w:ascii="Calibri" w:eastAsia="Times New Roman" w:hAnsi="Calibri" w:cs="Calibri"/>
                <w:color w:val="000000"/>
                <w:kern w:val="0"/>
                <w:sz w:val="22"/>
                <w:szCs w:val="22"/>
                <w14:ligatures w14:val="none"/>
              </w:rPr>
              <w:t>=</w:t>
            </w:r>
            <w:proofErr w:type="gramStart"/>
            <w:r w:rsidRPr="005F54DE">
              <w:rPr>
                <w:rFonts w:ascii="Calibri" w:eastAsia="Times New Roman" w:hAnsi="Calibri" w:cs="Calibri"/>
                <w:color w:val="000000"/>
                <w:kern w:val="0"/>
                <w:sz w:val="22"/>
                <w:szCs w:val="22"/>
                <w14:ligatures w14:val="none"/>
              </w:rPr>
              <w:t>CONCATENATE(MID(</w:t>
            </w:r>
            <w:proofErr w:type="gramEnd"/>
            <w:r w:rsidRPr="005F54DE">
              <w:rPr>
                <w:rFonts w:ascii="Calibri" w:eastAsia="Times New Roman" w:hAnsi="Calibri" w:cs="Calibri"/>
                <w:color w:val="000000"/>
                <w:kern w:val="0"/>
                <w:sz w:val="22"/>
                <w:szCs w:val="22"/>
                <w14:ligatures w14:val="none"/>
              </w:rPr>
              <w:t>@ImportValue, 5, 2),"</w:t>
            </w:r>
            <w:r>
              <w:rPr>
                <w:rFonts w:ascii="Calibri" w:eastAsia="Times New Roman" w:hAnsi="Calibri" w:cs="Calibri"/>
                <w:color w:val="000000"/>
                <w:kern w:val="0"/>
                <w:sz w:val="22"/>
                <w:szCs w:val="22"/>
                <w14:ligatures w14:val="none"/>
              </w:rPr>
              <w:t>-</w:t>
            </w:r>
            <w:proofErr w:type="gramStart"/>
            <w:r w:rsidRPr="005F54DE">
              <w:rPr>
                <w:rFonts w:ascii="Calibri" w:eastAsia="Times New Roman" w:hAnsi="Calibri" w:cs="Calibri"/>
                <w:color w:val="000000"/>
                <w:kern w:val="0"/>
                <w:sz w:val="22"/>
                <w:szCs w:val="22"/>
                <w14:ligatures w14:val="none"/>
              </w:rPr>
              <w:t>",MID</w:t>
            </w:r>
            <w:proofErr w:type="gramEnd"/>
            <w:r w:rsidRPr="005F54DE">
              <w:rPr>
                <w:rFonts w:ascii="Calibri" w:eastAsia="Times New Roman" w:hAnsi="Calibri" w:cs="Calibri"/>
                <w:color w:val="000000"/>
                <w:kern w:val="0"/>
                <w:sz w:val="22"/>
                <w:szCs w:val="22"/>
                <w14:ligatures w14:val="none"/>
              </w:rPr>
              <w:t>(@ImportValue, 7, 2)</w:t>
            </w:r>
            <w:r>
              <w:rPr>
                <w:rFonts w:ascii="Calibri" w:eastAsia="Times New Roman" w:hAnsi="Calibri" w:cs="Calibri"/>
                <w:color w:val="000000"/>
                <w:kern w:val="0"/>
                <w:sz w:val="22"/>
                <w:szCs w:val="22"/>
                <w14:ligatures w14:val="none"/>
              </w:rPr>
              <w:t>,</w:t>
            </w:r>
            <w:r w:rsidRPr="005F54DE">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w:t>
            </w:r>
            <w:r w:rsidRPr="005F54DE">
              <w:rPr>
                <w:rFonts w:ascii="Calibri" w:eastAsia="Times New Roman" w:hAnsi="Calibri" w:cs="Calibri"/>
                <w:color w:val="000000"/>
                <w:kern w:val="0"/>
                <w:sz w:val="22"/>
                <w:szCs w:val="22"/>
                <w14:ligatures w14:val="none"/>
              </w:rPr>
              <w:t xml:space="preserve">", </w:t>
            </w:r>
            <w:proofErr w:type="gramStart"/>
            <w:r w:rsidRPr="005F54DE">
              <w:rPr>
                <w:rFonts w:ascii="Calibri" w:eastAsia="Times New Roman" w:hAnsi="Calibri" w:cs="Calibri"/>
                <w:color w:val="000000"/>
                <w:kern w:val="0"/>
                <w:sz w:val="22"/>
                <w:szCs w:val="22"/>
                <w14:ligatures w14:val="none"/>
              </w:rPr>
              <w:t>MID(</w:t>
            </w:r>
            <w:proofErr w:type="gramEnd"/>
            <w:r w:rsidRPr="005F54DE">
              <w:rPr>
                <w:rFonts w:ascii="Calibri" w:eastAsia="Times New Roman" w:hAnsi="Calibri" w:cs="Calibri"/>
                <w:color w:val="000000"/>
                <w:kern w:val="0"/>
                <w:sz w:val="22"/>
                <w:szCs w:val="22"/>
                <w14:ligatures w14:val="none"/>
              </w:rPr>
              <w:t>@ImportValue, 1, 4))</w:t>
            </w:r>
          </w:p>
        </w:tc>
        <w:tc>
          <w:tcPr>
            <w:tcW w:w="3277" w:type="dxa"/>
            <w:tcBorders>
              <w:top w:val="nil"/>
              <w:left w:val="nil"/>
              <w:bottom w:val="nil"/>
              <w:right w:val="nil"/>
            </w:tcBorders>
          </w:tcPr>
          <w:p w14:paraId="01E5B63F" w14:textId="2550E88A" w:rsidR="005139BC" w:rsidRPr="005F54DE" w:rsidRDefault="005139BC" w:rsidP="005139BC">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MM</w:t>
            </w:r>
            <w:r>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DD</w:t>
            </w:r>
            <w:r>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YYYY</w:t>
            </w:r>
          </w:p>
        </w:tc>
      </w:tr>
      <w:tr w:rsidR="00D553AF" w:rsidRPr="005F54DE" w14:paraId="164B1AE0" w14:textId="77777777" w:rsidTr="00154B15">
        <w:trPr>
          <w:trHeight w:val="300"/>
        </w:trPr>
        <w:tc>
          <w:tcPr>
            <w:tcW w:w="1763" w:type="dxa"/>
            <w:tcBorders>
              <w:top w:val="nil"/>
              <w:left w:val="nil"/>
              <w:bottom w:val="nil"/>
              <w:right w:val="nil"/>
            </w:tcBorders>
          </w:tcPr>
          <w:p w14:paraId="038C3188" w14:textId="3E20517B" w:rsidR="00D553AF" w:rsidRPr="005F54DE" w:rsidRDefault="00D553AF" w:rsidP="005139BC">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StationID- SampleRoutine</w:t>
            </w:r>
          </w:p>
        </w:tc>
        <w:tc>
          <w:tcPr>
            <w:tcW w:w="9360" w:type="dxa"/>
            <w:tcBorders>
              <w:top w:val="nil"/>
              <w:left w:val="nil"/>
              <w:bottom w:val="nil"/>
              <w:right w:val="nil"/>
            </w:tcBorders>
            <w:noWrap/>
            <w:vAlign w:val="bottom"/>
          </w:tcPr>
          <w:p w14:paraId="3454EFE5" w14:textId="7F3B0AB7" w:rsidR="00D553AF" w:rsidRPr="00D553AF" w:rsidRDefault="00D553AF" w:rsidP="00D553AF">
            <w:pPr>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Split(Trim(Split(</w:t>
            </w:r>
            <w:proofErr w:type="gramEnd"/>
            <w:r>
              <w:rPr>
                <w:rFonts w:ascii="Calibri" w:hAnsi="Calibri" w:cs="Calibri"/>
                <w:color w:val="000000"/>
                <w:sz w:val="22"/>
                <w:szCs w:val="22"/>
              </w:rPr>
              <w:t>@ImportValue, "-", 1)), ".", 1)</w:t>
            </w:r>
          </w:p>
        </w:tc>
        <w:tc>
          <w:tcPr>
            <w:tcW w:w="3277" w:type="dxa"/>
            <w:tcBorders>
              <w:top w:val="nil"/>
              <w:left w:val="nil"/>
              <w:bottom w:val="nil"/>
              <w:right w:val="nil"/>
            </w:tcBorders>
          </w:tcPr>
          <w:p w14:paraId="3983F497" w14:textId="05E8E379" w:rsidR="00D553AF" w:rsidRDefault="00D553AF" w:rsidP="005139BC">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StationID</w:t>
            </w:r>
          </w:p>
        </w:tc>
      </w:tr>
      <w:tr w:rsidR="00D553AF" w:rsidRPr="005F54DE" w14:paraId="3555958E" w14:textId="77777777" w:rsidTr="00154B15">
        <w:trPr>
          <w:trHeight w:val="300"/>
        </w:trPr>
        <w:tc>
          <w:tcPr>
            <w:tcW w:w="1763" w:type="dxa"/>
            <w:tcBorders>
              <w:top w:val="nil"/>
              <w:left w:val="nil"/>
              <w:bottom w:val="nil"/>
              <w:right w:val="nil"/>
            </w:tcBorders>
          </w:tcPr>
          <w:p w14:paraId="10A5BE95" w14:textId="42BFE8CA" w:rsidR="00D553AF" w:rsidRDefault="00D553AF" w:rsidP="005139BC">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StationID</w:t>
            </w:r>
            <w:r>
              <w:rPr>
                <w:rFonts w:ascii="Calibri" w:eastAsia="Times New Roman" w:hAnsi="Calibri" w:cs="Calibri"/>
                <w:color w:val="000000"/>
                <w:kern w:val="0"/>
                <w:sz w:val="22"/>
                <w:szCs w:val="22"/>
                <w14:ligatures w14:val="none"/>
              </w:rPr>
              <w:t>.01 Water</w:t>
            </w:r>
            <w:r>
              <w:rPr>
                <w:rFonts w:ascii="Calibri" w:eastAsia="Times New Roman" w:hAnsi="Calibri" w:cs="Calibri"/>
                <w:color w:val="000000"/>
                <w:kern w:val="0"/>
                <w:sz w:val="22"/>
                <w:szCs w:val="22"/>
                <w14:ligatures w14:val="none"/>
              </w:rPr>
              <w:t>- SampleRoutine</w:t>
            </w:r>
          </w:p>
        </w:tc>
        <w:tc>
          <w:tcPr>
            <w:tcW w:w="9360" w:type="dxa"/>
            <w:tcBorders>
              <w:top w:val="nil"/>
              <w:left w:val="nil"/>
              <w:bottom w:val="nil"/>
              <w:right w:val="nil"/>
            </w:tcBorders>
            <w:noWrap/>
            <w:vAlign w:val="bottom"/>
          </w:tcPr>
          <w:tbl>
            <w:tblPr>
              <w:tblW w:w="8834" w:type="dxa"/>
              <w:tblLook w:val="04A0" w:firstRow="1" w:lastRow="0" w:firstColumn="1" w:lastColumn="0" w:noHBand="0" w:noVBand="1"/>
            </w:tblPr>
            <w:tblGrid>
              <w:gridCol w:w="8834"/>
            </w:tblGrid>
            <w:tr w:rsidR="002D0452" w:rsidRPr="009F771D" w14:paraId="5D6FF35A" w14:textId="77777777" w:rsidTr="002808BC">
              <w:trPr>
                <w:trHeight w:val="300"/>
              </w:trPr>
              <w:tc>
                <w:tcPr>
                  <w:tcW w:w="8834" w:type="dxa"/>
                  <w:tcBorders>
                    <w:top w:val="nil"/>
                    <w:left w:val="nil"/>
                    <w:bottom w:val="nil"/>
                    <w:right w:val="nil"/>
                  </w:tcBorders>
                  <w:noWrap/>
                  <w:vAlign w:val="bottom"/>
                  <w:hideMark/>
                </w:tcPr>
                <w:p w14:paraId="15364133" w14:textId="77777777" w:rsidR="002D0452" w:rsidRPr="009F771D" w:rsidRDefault="002D0452" w:rsidP="002D0452">
                  <w:pPr>
                    <w:spacing w:after="0" w:line="240" w:lineRule="auto"/>
                    <w:rPr>
                      <w:rFonts w:ascii="Calibri" w:eastAsia="Times New Roman" w:hAnsi="Calibri" w:cs="Calibri"/>
                      <w:color w:val="000000"/>
                      <w:kern w:val="0"/>
                      <w:sz w:val="22"/>
                      <w:szCs w:val="22"/>
                      <w14:ligatures w14:val="none"/>
                    </w:rPr>
                  </w:pPr>
                  <w:r w:rsidRPr="009F771D">
                    <w:rPr>
                      <w:rFonts w:ascii="Calibri" w:eastAsia="Times New Roman" w:hAnsi="Calibri" w:cs="Calibri"/>
                      <w:color w:val="000000"/>
                      <w:kern w:val="0"/>
                      <w:sz w:val="22"/>
                      <w:szCs w:val="22"/>
                      <w14:ligatures w14:val="none"/>
                    </w:rPr>
                    <w:t>=</w:t>
                  </w:r>
                  <w:proofErr w:type="gramStart"/>
                  <w:r w:rsidRPr="009F771D">
                    <w:rPr>
                      <w:rFonts w:ascii="Calibri" w:eastAsia="Times New Roman" w:hAnsi="Calibri" w:cs="Calibri"/>
                      <w:color w:val="000000"/>
                      <w:kern w:val="0"/>
                      <w:sz w:val="22"/>
                      <w:szCs w:val="22"/>
                      <w14:ligatures w14:val="none"/>
                    </w:rPr>
                    <w:t>Concatenate(</w:t>
                  </w:r>
                  <w:proofErr w:type="gramEnd"/>
                  <w:r w:rsidRPr="009F771D">
                    <w:rPr>
                      <w:rFonts w:ascii="Calibri" w:eastAsia="Times New Roman" w:hAnsi="Calibri" w:cs="Calibri"/>
                      <w:color w:val="000000"/>
                      <w:kern w:val="0"/>
                      <w:sz w:val="22"/>
                      <w:szCs w:val="22"/>
                      <w14:ligatures w14:val="none"/>
                    </w:rPr>
                    <w:t xml:space="preserve">"Sample layer is Above pycnocline. SerialNumber: ", </w:t>
                  </w:r>
                  <w:proofErr w:type="gramStart"/>
                  <w:r w:rsidRPr="009F771D">
                    <w:rPr>
                      <w:rFonts w:ascii="Calibri" w:eastAsia="Times New Roman" w:hAnsi="Calibri" w:cs="Calibri"/>
                      <w:color w:val="000000"/>
                      <w:kern w:val="0"/>
                      <w:sz w:val="22"/>
                      <w:szCs w:val="22"/>
                      <w14:ligatures w14:val="none"/>
                    </w:rPr>
                    <w:t>Split(</w:t>
                  </w:r>
                  <w:proofErr w:type="gramEnd"/>
                  <w:r w:rsidRPr="009F771D">
                    <w:rPr>
                      <w:rFonts w:ascii="Calibri" w:eastAsia="Times New Roman" w:hAnsi="Calibri" w:cs="Calibri"/>
                      <w:color w:val="000000"/>
                      <w:kern w:val="0"/>
                      <w:sz w:val="22"/>
                      <w:szCs w:val="22"/>
                      <w14:ligatures w14:val="none"/>
                    </w:rPr>
                    <w:t>@ImportValue, "_", 2))</w:t>
                  </w:r>
                </w:p>
              </w:tc>
            </w:tr>
            <w:tr w:rsidR="002D0452" w:rsidRPr="009F771D" w14:paraId="314F8E11" w14:textId="77777777" w:rsidTr="002808BC">
              <w:trPr>
                <w:trHeight w:val="300"/>
              </w:trPr>
              <w:tc>
                <w:tcPr>
                  <w:tcW w:w="8834" w:type="dxa"/>
                  <w:tcBorders>
                    <w:top w:val="nil"/>
                    <w:left w:val="nil"/>
                    <w:bottom w:val="nil"/>
                    <w:right w:val="nil"/>
                  </w:tcBorders>
                  <w:noWrap/>
                  <w:vAlign w:val="bottom"/>
                  <w:hideMark/>
                </w:tcPr>
                <w:p w14:paraId="2AD7BBE2" w14:textId="77777777" w:rsidR="002D0452" w:rsidRPr="009F771D" w:rsidRDefault="002D0452" w:rsidP="002D0452">
                  <w:pPr>
                    <w:spacing w:after="0" w:line="240" w:lineRule="auto"/>
                    <w:rPr>
                      <w:rFonts w:ascii="Calibri" w:eastAsia="Times New Roman" w:hAnsi="Calibri" w:cs="Calibri"/>
                      <w:color w:val="000000"/>
                      <w:kern w:val="0"/>
                      <w:sz w:val="22"/>
                      <w:szCs w:val="22"/>
                      <w14:ligatures w14:val="none"/>
                    </w:rPr>
                  </w:pPr>
                  <w:r w:rsidRPr="009F771D">
                    <w:rPr>
                      <w:rFonts w:ascii="Calibri" w:eastAsia="Times New Roman" w:hAnsi="Calibri" w:cs="Calibri"/>
                      <w:color w:val="000000"/>
                      <w:kern w:val="0"/>
                      <w:sz w:val="22"/>
                      <w:szCs w:val="22"/>
                      <w14:ligatures w14:val="none"/>
                    </w:rPr>
                    <w:t>=</w:t>
                  </w:r>
                  <w:proofErr w:type="gramStart"/>
                  <w:r w:rsidRPr="009F771D">
                    <w:rPr>
                      <w:rFonts w:ascii="Calibri" w:eastAsia="Times New Roman" w:hAnsi="Calibri" w:cs="Calibri"/>
                      <w:color w:val="000000"/>
                      <w:kern w:val="0"/>
                      <w:sz w:val="22"/>
                      <w:szCs w:val="22"/>
                      <w14:ligatures w14:val="none"/>
                    </w:rPr>
                    <w:t>Concatenate(</w:t>
                  </w:r>
                  <w:proofErr w:type="gramEnd"/>
                  <w:r w:rsidRPr="009F771D">
                    <w:rPr>
                      <w:rFonts w:ascii="Calibri" w:eastAsia="Times New Roman" w:hAnsi="Calibri" w:cs="Calibri"/>
                      <w:color w:val="000000"/>
                      <w:kern w:val="0"/>
                      <w:sz w:val="22"/>
                      <w:szCs w:val="22"/>
                      <w14:ligatures w14:val="none"/>
                    </w:rPr>
                    <w:t xml:space="preserve">"Sample layer is Below euphotic zone. SerialNumber: ", </w:t>
                  </w:r>
                  <w:proofErr w:type="gramStart"/>
                  <w:r w:rsidRPr="009F771D">
                    <w:rPr>
                      <w:rFonts w:ascii="Calibri" w:eastAsia="Times New Roman" w:hAnsi="Calibri" w:cs="Calibri"/>
                      <w:color w:val="000000"/>
                      <w:kern w:val="0"/>
                      <w:sz w:val="22"/>
                      <w:szCs w:val="22"/>
                      <w14:ligatures w14:val="none"/>
                    </w:rPr>
                    <w:t>Split(</w:t>
                  </w:r>
                  <w:proofErr w:type="gramEnd"/>
                  <w:r w:rsidRPr="009F771D">
                    <w:rPr>
                      <w:rFonts w:ascii="Calibri" w:eastAsia="Times New Roman" w:hAnsi="Calibri" w:cs="Calibri"/>
                      <w:color w:val="000000"/>
                      <w:kern w:val="0"/>
                      <w:sz w:val="22"/>
                      <w:szCs w:val="22"/>
                      <w14:ligatures w14:val="none"/>
                    </w:rPr>
                    <w:t>@ImportValue, "_", 2))</w:t>
                  </w:r>
                </w:p>
              </w:tc>
            </w:tr>
          </w:tbl>
          <w:p w14:paraId="418D243C" w14:textId="77777777" w:rsidR="00D553AF" w:rsidRDefault="00D553AF" w:rsidP="00D553AF">
            <w:pPr>
              <w:rPr>
                <w:rFonts w:ascii="Calibri" w:hAnsi="Calibri" w:cs="Calibri"/>
                <w:color w:val="000000"/>
                <w:sz w:val="22"/>
                <w:szCs w:val="22"/>
              </w:rPr>
            </w:pPr>
          </w:p>
        </w:tc>
        <w:tc>
          <w:tcPr>
            <w:tcW w:w="3277" w:type="dxa"/>
            <w:tcBorders>
              <w:top w:val="nil"/>
              <w:left w:val="nil"/>
              <w:bottom w:val="nil"/>
              <w:right w:val="nil"/>
            </w:tcBorders>
          </w:tcPr>
          <w:p w14:paraId="5EB3DDEC" w14:textId="526B50A1" w:rsidR="00D553AF" w:rsidRDefault="00D553AF" w:rsidP="005139BC">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StationID</w:t>
            </w:r>
          </w:p>
        </w:tc>
      </w:tr>
      <w:tr w:rsidR="009F771D" w:rsidRPr="005F54DE" w14:paraId="5E1C0BE6" w14:textId="77777777" w:rsidTr="00154B15">
        <w:trPr>
          <w:trHeight w:val="300"/>
        </w:trPr>
        <w:tc>
          <w:tcPr>
            <w:tcW w:w="1763" w:type="dxa"/>
            <w:tcBorders>
              <w:top w:val="nil"/>
              <w:left w:val="nil"/>
              <w:bottom w:val="nil"/>
              <w:right w:val="nil"/>
            </w:tcBorders>
          </w:tcPr>
          <w:p w14:paraId="7DBDEFEF" w14:textId="77777777" w:rsidR="009F771D" w:rsidRDefault="009F771D" w:rsidP="005139BC">
            <w:pPr>
              <w:spacing w:after="0" w:line="240" w:lineRule="auto"/>
              <w:rPr>
                <w:rFonts w:ascii="Calibri" w:eastAsia="Times New Roman" w:hAnsi="Calibri" w:cs="Calibri"/>
                <w:color w:val="000000"/>
                <w:kern w:val="0"/>
                <w:sz w:val="22"/>
                <w:szCs w:val="22"/>
                <w14:ligatures w14:val="none"/>
              </w:rPr>
            </w:pPr>
          </w:p>
        </w:tc>
        <w:tc>
          <w:tcPr>
            <w:tcW w:w="9360" w:type="dxa"/>
            <w:tcBorders>
              <w:top w:val="nil"/>
              <w:left w:val="nil"/>
              <w:bottom w:val="nil"/>
              <w:right w:val="nil"/>
            </w:tcBorders>
            <w:noWrap/>
            <w:vAlign w:val="bottom"/>
          </w:tcPr>
          <w:p w14:paraId="7AAAA931" w14:textId="51A38E26" w:rsidR="009F771D" w:rsidRDefault="009F771D" w:rsidP="00D553AF">
            <w:pPr>
              <w:rPr>
                <w:rFonts w:ascii="Calibri" w:hAnsi="Calibri" w:cs="Calibri"/>
                <w:color w:val="000000"/>
                <w:sz w:val="22"/>
                <w:szCs w:val="22"/>
              </w:rPr>
            </w:pPr>
            <w:r w:rsidRPr="009F771D">
              <w:rPr>
                <w:rFonts w:ascii="Calibri" w:hAnsi="Calibri" w:cs="Calibri"/>
                <w:color w:val="000000"/>
                <w:sz w:val="22"/>
                <w:szCs w:val="22"/>
              </w:rPr>
              <w:t>=</w:t>
            </w:r>
            <w:proofErr w:type="gramStart"/>
            <w:r w:rsidRPr="009F771D">
              <w:rPr>
                <w:rFonts w:ascii="Calibri" w:hAnsi="Calibri" w:cs="Calibri"/>
                <w:color w:val="000000"/>
                <w:sz w:val="22"/>
                <w:szCs w:val="22"/>
              </w:rPr>
              <w:t>Concatenate(</w:t>
            </w:r>
            <w:proofErr w:type="gramEnd"/>
            <w:r w:rsidRPr="009F771D">
              <w:rPr>
                <w:rFonts w:ascii="Calibri" w:hAnsi="Calibri" w:cs="Calibri"/>
                <w:color w:val="000000"/>
                <w:sz w:val="22"/>
                <w:szCs w:val="22"/>
              </w:rPr>
              <w:t xml:space="preserve">"Sample layer is Whole water column. SerialNumber: ", </w:t>
            </w:r>
            <w:proofErr w:type="gramStart"/>
            <w:r w:rsidRPr="009F771D">
              <w:rPr>
                <w:rFonts w:ascii="Calibri" w:hAnsi="Calibri" w:cs="Calibri"/>
                <w:color w:val="000000"/>
                <w:sz w:val="22"/>
                <w:szCs w:val="22"/>
              </w:rPr>
              <w:t>Split(</w:t>
            </w:r>
            <w:proofErr w:type="gramEnd"/>
            <w:r w:rsidRPr="009F771D">
              <w:rPr>
                <w:rFonts w:ascii="Calibri" w:hAnsi="Calibri" w:cs="Calibri"/>
                <w:color w:val="000000"/>
                <w:sz w:val="22"/>
                <w:szCs w:val="22"/>
              </w:rPr>
              <w:t>@ImportValue, "_", 2))</w:t>
            </w:r>
          </w:p>
        </w:tc>
        <w:tc>
          <w:tcPr>
            <w:tcW w:w="3277" w:type="dxa"/>
            <w:tcBorders>
              <w:top w:val="nil"/>
              <w:left w:val="nil"/>
              <w:bottom w:val="nil"/>
              <w:right w:val="nil"/>
            </w:tcBorders>
          </w:tcPr>
          <w:p w14:paraId="0029C94C" w14:textId="77777777" w:rsidR="009F771D" w:rsidRDefault="009F771D" w:rsidP="005139BC">
            <w:pPr>
              <w:spacing w:after="0" w:line="240" w:lineRule="auto"/>
              <w:rPr>
                <w:rFonts w:ascii="Calibri" w:eastAsia="Times New Roman" w:hAnsi="Calibri" w:cs="Calibri"/>
                <w:color w:val="000000"/>
                <w:kern w:val="0"/>
                <w:sz w:val="22"/>
                <w:szCs w:val="22"/>
                <w14:ligatures w14:val="none"/>
              </w:rPr>
            </w:pPr>
          </w:p>
        </w:tc>
      </w:tr>
    </w:tbl>
    <w:p w14:paraId="4B31FADB" w14:textId="666F6265" w:rsidR="00F1392F" w:rsidRDefault="003E740F" w:rsidP="00F1392F">
      <w:r w:rsidRPr="00C872F8">
        <w:rPr>
          <w:b/>
          <w:bCs/>
        </w:rPr>
        <w:lastRenderedPageBreak/>
        <w:t>TRANSLATION RULES</w:t>
      </w:r>
      <w:r>
        <w:t xml:space="preserve">: transform the import values into the </w:t>
      </w:r>
      <w:r w:rsidR="009C151E">
        <w:t>WQX standard (matching existing domain values)</w:t>
      </w:r>
    </w:p>
    <w:tbl>
      <w:tblPr>
        <w:tblW w:w="0" w:type="auto"/>
        <w:tblCellSpacing w:w="22" w:type="dxa"/>
        <w:tblBorders>
          <w:top w:val="single" w:sz="8" w:space="0" w:color="89AEE5"/>
          <w:left w:val="single" w:sz="8" w:space="0" w:color="89AEE5"/>
          <w:bottom w:val="single" w:sz="8" w:space="0" w:color="89AEE5"/>
          <w:right w:val="single" w:sz="8" w:space="0" w:color="89AEE5"/>
        </w:tblBorders>
        <w:shd w:val="clear" w:color="auto" w:fill="FFFFFF"/>
        <w:tblCellMar>
          <w:left w:w="0" w:type="dxa"/>
          <w:right w:w="0" w:type="dxa"/>
        </w:tblCellMar>
        <w:tblLook w:val="04A0" w:firstRow="1" w:lastRow="0" w:firstColumn="1" w:lastColumn="0" w:noHBand="0" w:noVBand="1"/>
      </w:tblPr>
      <w:tblGrid>
        <w:gridCol w:w="2049"/>
        <w:gridCol w:w="4188"/>
      </w:tblGrid>
      <w:tr w:rsidR="00F1392F" w:rsidRPr="00F1392F" w14:paraId="436BE0BB" w14:textId="77777777">
        <w:trPr>
          <w:tblCellSpacing w:w="22" w:type="dxa"/>
        </w:trPr>
        <w:tc>
          <w:tcPr>
            <w:tcW w:w="0" w:type="auto"/>
            <w:tcBorders>
              <w:top w:val="nil"/>
              <w:left w:val="nil"/>
              <w:bottom w:val="nil"/>
              <w:right w:val="nil"/>
            </w:tcBorders>
            <w:noWrap/>
            <w:tcMar>
              <w:top w:w="15" w:type="dxa"/>
              <w:left w:w="45" w:type="dxa"/>
              <w:bottom w:w="15" w:type="dxa"/>
              <w:right w:w="45" w:type="dxa"/>
            </w:tcMar>
            <w:hideMark/>
          </w:tcPr>
          <w:p w14:paraId="642F0D94" w14:textId="77777777" w:rsidR="00F1392F" w:rsidRPr="00F1392F" w:rsidRDefault="00F1392F" w:rsidP="00F1392F">
            <w:r w:rsidRPr="00F1392F">
              <w:t xml:space="preserve">When </w:t>
            </w:r>
            <w:proofErr w:type="gramStart"/>
            <w:r w:rsidRPr="00F1392F">
              <w:t>Column ??</w:t>
            </w:r>
            <w:proofErr w:type="gramEnd"/>
            <w:r w:rsidRPr="00F1392F">
              <w:t xml:space="preserve"> :</w:t>
            </w:r>
          </w:p>
        </w:tc>
        <w:tc>
          <w:tcPr>
            <w:tcW w:w="0" w:type="auto"/>
            <w:tcBorders>
              <w:top w:val="nil"/>
              <w:left w:val="nil"/>
              <w:bottom w:val="nil"/>
              <w:right w:val="nil"/>
            </w:tcBorders>
            <w:noWrap/>
            <w:tcMar>
              <w:top w:w="15" w:type="dxa"/>
              <w:left w:w="45" w:type="dxa"/>
              <w:bottom w:w="15" w:type="dxa"/>
              <w:right w:w="45" w:type="dxa"/>
            </w:tcMar>
            <w:hideMark/>
          </w:tcPr>
          <w:p w14:paraId="4007C629" w14:textId="77777777" w:rsidR="00F1392F" w:rsidRDefault="00F1392F" w:rsidP="00F1392F">
            <w:r w:rsidRPr="00F1392F">
              <w:t>EQUALS “header”</w:t>
            </w:r>
          </w:p>
          <w:p w14:paraId="45810656" w14:textId="77777777" w:rsidR="00F7648A" w:rsidRDefault="00F7648A" w:rsidP="00F1392F">
            <w:r>
              <w:t>CONTAINS</w:t>
            </w:r>
          </w:p>
          <w:p w14:paraId="0CDEA3C5" w14:textId="77777777" w:rsidR="00F7648A" w:rsidRDefault="00F7648A" w:rsidP="00F1392F">
            <w:r>
              <w:t>STARTS WITH</w:t>
            </w:r>
          </w:p>
          <w:p w14:paraId="31087E7C" w14:textId="77777777" w:rsidR="00F7648A" w:rsidRDefault="00F7648A" w:rsidP="00F1392F">
            <w:r>
              <w:t>ENDS WITH</w:t>
            </w:r>
          </w:p>
          <w:p w14:paraId="6FA814D7" w14:textId="77777777" w:rsidR="00F7648A" w:rsidRDefault="00F7648A" w:rsidP="00F1392F">
            <w:proofErr w:type="gramStart"/>
            <w:r>
              <w:t>IS</w:t>
            </w:r>
            <w:proofErr w:type="gramEnd"/>
            <w:r>
              <w:t xml:space="preserve"> BLANK</w:t>
            </w:r>
          </w:p>
          <w:p w14:paraId="7C28C71F" w14:textId="63EAA9B4" w:rsidR="00F7648A" w:rsidRPr="00F1392F" w:rsidRDefault="00F7648A" w:rsidP="00F1392F">
            <w:r>
              <w:t>IS NOT BLANK</w:t>
            </w:r>
          </w:p>
        </w:tc>
      </w:tr>
      <w:tr w:rsidR="00F1392F" w:rsidRPr="00F1392F" w14:paraId="7AE7853B"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1C993223"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3C253824" w14:textId="77777777" w:rsidR="00F1392F" w:rsidRPr="00F1392F" w:rsidRDefault="00F1392F" w:rsidP="00F1392F">
            <w:r w:rsidRPr="00F1392F">
              <w:t>Discard Activity</w:t>
            </w:r>
          </w:p>
        </w:tc>
      </w:tr>
      <w:tr w:rsidR="00F1392F" w:rsidRPr="00F1392F" w14:paraId="07F79615"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1EEF2591"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5780EC56" w14:textId="77777777" w:rsidR="00F1392F" w:rsidRPr="00F1392F" w:rsidRDefault="00F1392F" w:rsidP="00F1392F">
            <w:r w:rsidRPr="00F1392F">
              <w:t>Discard Result</w:t>
            </w:r>
          </w:p>
        </w:tc>
      </w:tr>
      <w:tr w:rsidR="00F1392F" w:rsidRPr="00F1392F" w14:paraId="19473F7C"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40455A40"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3FA4330D" w14:textId="77777777" w:rsidR="00F1392F" w:rsidRPr="00F1392F" w:rsidRDefault="00F1392F" w:rsidP="00F1392F">
            <w:r w:rsidRPr="00F1392F">
              <w:t>Discard Result Detection Limit</w:t>
            </w:r>
          </w:p>
        </w:tc>
      </w:tr>
      <w:tr w:rsidR="00F1392F" w:rsidRPr="00F1392F" w14:paraId="39A66712"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5D5B2FA4"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0E3F9E3E" w14:textId="77777777" w:rsidR="00F1392F" w:rsidRPr="00F1392F" w:rsidRDefault="00F1392F" w:rsidP="00F1392F">
            <w:r w:rsidRPr="00F1392F">
              <w:t>Discard Result Frequency Class</w:t>
            </w:r>
          </w:p>
        </w:tc>
      </w:tr>
      <w:tr w:rsidR="00F1392F" w:rsidRPr="00F1392F" w14:paraId="67C607E9"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3FCD005F"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36940664" w14:textId="77777777" w:rsidR="00F1392F" w:rsidRPr="00F1392F" w:rsidRDefault="00F1392F" w:rsidP="00F1392F">
            <w:r w:rsidRPr="00F1392F">
              <w:t>Discard Result Lab Sample Preparation</w:t>
            </w:r>
          </w:p>
        </w:tc>
      </w:tr>
      <w:tr w:rsidR="00F1392F" w:rsidRPr="00F1392F" w14:paraId="28A59294"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332A70D4"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7E37402A" w14:textId="77777777" w:rsidR="00F1392F" w:rsidRPr="00F1392F" w:rsidRDefault="00F1392F" w:rsidP="00F1392F">
            <w:r w:rsidRPr="00F1392F">
              <w:t>Discard Result Measure Qualifier</w:t>
            </w:r>
          </w:p>
        </w:tc>
      </w:tr>
      <w:tr w:rsidR="00F1392F" w:rsidRPr="00F1392F" w14:paraId="067DBC1A"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72F51366"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3EF635E1" w14:textId="77777777" w:rsidR="00F1392F" w:rsidRPr="00F1392F" w:rsidRDefault="00F1392F" w:rsidP="00F1392F">
            <w:r w:rsidRPr="00F1392F">
              <w:t>Discard Result Taxon</w:t>
            </w:r>
          </w:p>
        </w:tc>
      </w:tr>
      <w:tr w:rsidR="00F1392F" w:rsidRPr="00F1392F" w14:paraId="65B3FBA9"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20A5F03D"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18FE0FE1" w14:textId="77777777" w:rsidR="00F1392F" w:rsidRPr="00F1392F" w:rsidRDefault="00F1392F" w:rsidP="00F1392F">
            <w:r w:rsidRPr="00F1392F">
              <w:t>Discard Result Taxon Feeding Group</w:t>
            </w:r>
          </w:p>
        </w:tc>
      </w:tr>
      <w:tr w:rsidR="00F1392F" w:rsidRPr="00F1392F" w14:paraId="23C7AA5D" w14:textId="77777777">
        <w:trPr>
          <w:tblCellSpacing w:w="22" w:type="dxa"/>
        </w:trPr>
        <w:tc>
          <w:tcPr>
            <w:tcW w:w="0" w:type="auto"/>
            <w:tcBorders>
              <w:top w:val="nil"/>
              <w:left w:val="nil"/>
              <w:bottom w:val="nil"/>
              <w:right w:val="nil"/>
            </w:tcBorders>
            <w:noWrap/>
            <w:tcMar>
              <w:top w:w="15" w:type="dxa"/>
              <w:left w:w="45" w:type="dxa"/>
              <w:bottom w:w="15" w:type="dxa"/>
              <w:right w:w="45" w:type="dxa"/>
            </w:tcMar>
            <w:vAlign w:val="center"/>
            <w:hideMark/>
          </w:tcPr>
          <w:p w14:paraId="44CA62D4" w14:textId="77777777" w:rsidR="00F1392F" w:rsidRPr="00F1392F" w:rsidRDefault="00F1392F" w:rsidP="00F1392F">
            <w:r w:rsidRPr="00F1392F">
              <w:t>Then:</w:t>
            </w:r>
          </w:p>
        </w:tc>
        <w:tc>
          <w:tcPr>
            <w:tcW w:w="0" w:type="auto"/>
            <w:tcBorders>
              <w:top w:val="nil"/>
              <w:left w:val="nil"/>
              <w:bottom w:val="nil"/>
              <w:right w:val="nil"/>
            </w:tcBorders>
            <w:noWrap/>
            <w:tcMar>
              <w:top w:w="15" w:type="dxa"/>
              <w:left w:w="45" w:type="dxa"/>
              <w:bottom w:w="15" w:type="dxa"/>
              <w:right w:w="45" w:type="dxa"/>
            </w:tcMar>
            <w:vAlign w:val="center"/>
            <w:hideMark/>
          </w:tcPr>
          <w:p w14:paraId="233E3017" w14:textId="77777777" w:rsidR="00F1392F" w:rsidRPr="00F1392F" w:rsidRDefault="00F1392F" w:rsidP="00F1392F">
            <w:r w:rsidRPr="00F1392F">
              <w:t>Discard Result Taxon Habit</w:t>
            </w:r>
          </w:p>
        </w:tc>
      </w:tr>
    </w:tbl>
    <w:p w14:paraId="3DDF7A9E" w14:textId="77777777" w:rsidR="00F1392F" w:rsidRPr="00F1392F" w:rsidRDefault="00F1392F" w:rsidP="00F1392F"/>
    <w:p w14:paraId="416FC827" w14:textId="77777777" w:rsidR="00F1392F" w:rsidRPr="00F1392F" w:rsidRDefault="00F1392F" w:rsidP="00F1392F"/>
    <w:p w14:paraId="2D53F702" w14:textId="77777777" w:rsidR="003D7C3F" w:rsidRDefault="003D7C3F" w:rsidP="00B67D8B"/>
    <w:p w14:paraId="5FB6A37C" w14:textId="77777777" w:rsidR="00B41FC4" w:rsidRDefault="00B41FC4" w:rsidP="00B67D8B"/>
    <w:p w14:paraId="6F26902C" w14:textId="17602D4D" w:rsidR="00B67D8B" w:rsidRPr="00B67D8B" w:rsidRDefault="00B67D8B" w:rsidP="00B67D8B">
      <w:r w:rsidRPr="00B67D8B">
        <w:t>Emailed guidance on CTD High frequency data</w:t>
      </w:r>
    </w:p>
    <w:p w14:paraId="62C95C0D" w14:textId="77777777" w:rsidR="00B67D8B" w:rsidRDefault="00B67D8B" w:rsidP="00B67D8B"/>
    <w:p w14:paraId="3D907B46" w14:textId="2B8685D7" w:rsidR="00B67D8B" w:rsidRPr="00B67D8B" w:rsidRDefault="00B67D8B" w:rsidP="00B67D8B">
      <w:r w:rsidRPr="00B67D8B">
        <w:t>The Water Quality Exchange (WQX) database and Water Quality Portal warehouse services facilitate the sharing of water data. WQX and Water Quality Portal (WQP) are discrete sampling event services. This guide provides a high-level overview of best practices and recommendations for submitting continuous high-frequency data to the WQX dataflow. To ensure accurate storage, accessibility, and usability of water quality data include the following best practices. Key recommendations include submitting daily summary statistics and archiving raw data files as attachments to enhance data accessibility, visualization, and analysis.</w:t>
      </w:r>
    </w:p>
    <w:p w14:paraId="6AD5F8A2" w14:textId="77777777" w:rsidR="00B67D8B" w:rsidRPr="00B67D8B" w:rsidRDefault="00B67D8B" w:rsidP="00B67D8B"/>
    <w:p w14:paraId="2DB04548" w14:textId="77777777" w:rsidR="00B67D8B" w:rsidRPr="00B67D8B" w:rsidRDefault="00B67D8B" w:rsidP="00B67D8B">
      <w:pPr>
        <w:rPr>
          <w:b/>
          <w:bCs/>
        </w:rPr>
      </w:pPr>
      <w:r w:rsidRPr="00B67D8B">
        <w:rPr>
          <w:b/>
          <w:bCs/>
        </w:rPr>
        <w:t>Data submission Instructions</w:t>
      </w:r>
    </w:p>
    <w:p w14:paraId="6E531A59" w14:textId="77777777" w:rsidR="00B67D8B" w:rsidRPr="00B67D8B" w:rsidRDefault="00B67D8B" w:rsidP="00B67D8B">
      <w:pPr>
        <w:numPr>
          <w:ilvl w:val="0"/>
          <w:numId w:val="26"/>
        </w:numPr>
      </w:pPr>
      <w:r w:rsidRPr="00B67D8B">
        <w:rPr>
          <w:b/>
          <w:bCs/>
        </w:rPr>
        <w:t xml:space="preserve">Remove RAW Continuous Datasets: </w:t>
      </w:r>
      <w:r w:rsidRPr="00B67D8B">
        <w:t>If exists, remove the full RAW datasets of high frequency data for locations that have been previously uploaded and re-submit the same time frame as summary statistics with the RAW data as activity attachments based on the period of performance (Yearly, monthly, weekly, or daily).</w:t>
      </w:r>
    </w:p>
    <w:p w14:paraId="377B7479" w14:textId="77777777" w:rsidR="00B67D8B" w:rsidRPr="00B67D8B" w:rsidRDefault="00B67D8B" w:rsidP="00B67D8B">
      <w:pPr>
        <w:numPr>
          <w:ilvl w:val="0"/>
          <w:numId w:val="26"/>
        </w:numPr>
      </w:pPr>
      <w:r w:rsidRPr="00B67D8B">
        <w:rPr>
          <w:b/>
          <w:bCs/>
        </w:rPr>
        <w:t xml:space="preserve">Daily Summary Statistics: </w:t>
      </w:r>
      <w:r w:rsidRPr="00B67D8B">
        <w:t xml:space="preserve">Submit daily summary statistics (e.g., average, max, min, median, standard deviation) for both surface and groundwater data. The daily statistics will be discoverable in the WQX schema and WQP results data profiles along with all other discrete samples and measurements. The </w:t>
      </w:r>
      <w:proofErr w:type="gramStart"/>
      <w:r w:rsidRPr="00B67D8B">
        <w:t>dataowner</w:t>
      </w:r>
      <w:proofErr w:type="gramEnd"/>
      <w:r w:rsidRPr="00B67D8B">
        <w:t xml:space="preserve"> may report in any stats supporting their analysis tools. This makes it easy to review and analyze the continuous daily data alongside any other sample data.</w:t>
      </w:r>
    </w:p>
    <w:p w14:paraId="4C582847" w14:textId="77777777" w:rsidR="00B67D8B" w:rsidRPr="00B67D8B" w:rsidRDefault="00B67D8B" w:rsidP="00B67D8B">
      <w:pPr>
        <w:numPr>
          <w:ilvl w:val="0"/>
          <w:numId w:val="26"/>
        </w:numPr>
      </w:pPr>
      <w:r w:rsidRPr="00B67D8B">
        <w:rPr>
          <w:b/>
          <w:bCs/>
        </w:rPr>
        <w:t>Data Storage Recommendations</w:t>
      </w:r>
    </w:p>
    <w:p w14:paraId="6D0DFE5D" w14:textId="77777777" w:rsidR="00B67D8B" w:rsidRPr="00B67D8B" w:rsidRDefault="00B67D8B" w:rsidP="00B67D8B">
      <w:pPr>
        <w:numPr>
          <w:ilvl w:val="0"/>
          <w:numId w:val="27"/>
        </w:numPr>
      </w:pPr>
      <w:r w:rsidRPr="00B67D8B">
        <w:rPr>
          <w:b/>
          <w:bCs/>
        </w:rPr>
        <w:t>Result Level Elements</w:t>
      </w:r>
      <w:r w:rsidRPr="00B67D8B">
        <w:t xml:space="preserve">: Store data using schema elements: </w:t>
      </w:r>
      <w:r w:rsidRPr="00B67D8B">
        <w:rPr>
          <w:i/>
          <w:iCs/>
        </w:rPr>
        <w:t>Analysis Start/End Date, Result Depth</w:t>
      </w:r>
      <w:r w:rsidRPr="00B67D8B">
        <w:t>, Characteristic, etc.</w:t>
      </w:r>
    </w:p>
    <w:p w14:paraId="4CE41611" w14:textId="77777777" w:rsidR="00B67D8B" w:rsidRPr="00B67D8B" w:rsidRDefault="00B67D8B" w:rsidP="00B67D8B">
      <w:pPr>
        <w:numPr>
          <w:ilvl w:val="0"/>
          <w:numId w:val="27"/>
        </w:numPr>
      </w:pPr>
      <w:r w:rsidRPr="00B67D8B">
        <w:rPr>
          <w:b/>
          <w:bCs/>
        </w:rPr>
        <w:lastRenderedPageBreak/>
        <w:t>Activity Level Elements</w:t>
      </w:r>
      <w:r w:rsidRPr="00B67D8B">
        <w:t>: Store raw data files and operation periods using schema elements:</w:t>
      </w:r>
      <w:r w:rsidRPr="00B67D8B">
        <w:rPr>
          <w:i/>
          <w:iCs/>
        </w:rPr>
        <w:t xml:space="preserve"> Activity Start/End Date, ActivityAttachedBinaryObject</w:t>
      </w:r>
      <w:r w:rsidRPr="00B67D8B">
        <w:t>, etc.</w:t>
      </w:r>
    </w:p>
    <w:p w14:paraId="652F73BF" w14:textId="23B4A5A4" w:rsidR="00B67D8B" w:rsidRPr="00B67D8B" w:rsidRDefault="00B67D8B" w:rsidP="00B67D8B">
      <w:pPr>
        <w:numPr>
          <w:ilvl w:val="0"/>
          <w:numId w:val="27"/>
        </w:numPr>
      </w:pPr>
      <w:r w:rsidRPr="00B67D8B">
        <w:rPr>
          <w:b/>
          <w:bCs/>
        </w:rPr>
        <w:t>Attachments</w:t>
      </w:r>
      <w:r w:rsidRPr="00B67D8B">
        <w:t xml:space="preserve">: can include both summarized (yearly, monthly, weekly, daily) and raw data archiving the full time-series records in </w:t>
      </w:r>
      <w:r>
        <w:t xml:space="preserve">plain </w:t>
      </w:r>
      <w:proofErr w:type="gramStart"/>
      <w:r>
        <w:t xml:space="preserve">text </w:t>
      </w:r>
      <w:r w:rsidRPr="00B67D8B">
        <w:rPr>
          <w:b/>
          <w:bCs/>
        </w:rPr>
        <w:t>”</w:t>
      </w:r>
      <w:proofErr w:type="gramEnd"/>
      <w:r w:rsidRPr="00B67D8B">
        <w:rPr>
          <w:b/>
          <w:bCs/>
        </w:rPr>
        <w:t>.txt”, “.csv”</w:t>
      </w:r>
      <w:r w:rsidRPr="00B67D8B">
        <w:t xml:space="preserve"> or compressed text </w:t>
      </w:r>
      <w:r w:rsidRPr="00B67D8B">
        <w:rPr>
          <w:b/>
          <w:bCs/>
        </w:rPr>
        <w:t>.zip</w:t>
      </w:r>
      <w:r w:rsidRPr="00B67D8B">
        <w:t xml:space="preserve"> formats.</w:t>
      </w:r>
    </w:p>
    <w:p w14:paraId="6D9FE50D" w14:textId="77777777" w:rsidR="00B67D8B" w:rsidRPr="00B67D8B" w:rsidRDefault="00B67D8B" w:rsidP="00B67D8B">
      <w:pPr>
        <w:numPr>
          <w:ilvl w:val="0"/>
          <w:numId w:val="26"/>
        </w:numPr>
        <w:rPr>
          <w:b/>
          <w:bCs/>
        </w:rPr>
      </w:pPr>
      <w:r w:rsidRPr="00B67D8B">
        <w:rPr>
          <w:b/>
          <w:bCs/>
        </w:rPr>
        <w:t>Data Summarization Tools – TEMPORARILY OFFLINE</w:t>
      </w:r>
    </w:p>
    <w:p w14:paraId="2A231A43" w14:textId="77777777" w:rsidR="00B67D8B" w:rsidRPr="00B67D8B" w:rsidRDefault="00B67D8B" w:rsidP="00B67D8B">
      <w:pPr>
        <w:numPr>
          <w:ilvl w:val="0"/>
          <w:numId w:val="28"/>
        </w:numPr>
        <w:rPr>
          <w:b/>
          <w:bCs/>
        </w:rPr>
      </w:pPr>
      <w:r w:rsidRPr="00B67D8B">
        <w:t>EPA Continuous Data QC Tools (Click on Hyperlink)</w:t>
      </w:r>
    </w:p>
    <w:p w14:paraId="1FB33D9B" w14:textId="77777777" w:rsidR="00B67D8B" w:rsidRPr="00B67D8B" w:rsidRDefault="00B67D8B" w:rsidP="00B67D8B">
      <w:pPr>
        <w:numPr>
          <w:ilvl w:val="1"/>
          <w:numId w:val="28"/>
        </w:numPr>
        <w:rPr>
          <w:u w:val="single"/>
        </w:rPr>
      </w:pPr>
      <w:hyperlink r:id="rId14" w:history="1">
        <w:r w:rsidRPr="00B67D8B">
          <w:rPr>
            <w:rStyle w:val="Hyperlink"/>
          </w:rPr>
          <w:t>ContDataSumVis R Shiny App</w:t>
        </w:r>
      </w:hyperlink>
    </w:p>
    <w:p w14:paraId="3A4F1ECD" w14:textId="77777777" w:rsidR="00B67D8B" w:rsidRDefault="00B67D8B" w:rsidP="00B67D8B">
      <w:pPr>
        <w:numPr>
          <w:ilvl w:val="1"/>
          <w:numId w:val="28"/>
        </w:numPr>
      </w:pPr>
      <w:hyperlink r:id="rId15" w:history="1">
        <w:r w:rsidRPr="00B67D8B">
          <w:rPr>
            <w:rStyle w:val="Hyperlink"/>
          </w:rPr>
          <w:t>NALMS Shiny App</w:t>
        </w:r>
      </w:hyperlink>
    </w:p>
    <w:p w14:paraId="497A6D26" w14:textId="77777777" w:rsidR="00B67D8B" w:rsidRPr="00B67D8B" w:rsidRDefault="00B67D8B" w:rsidP="00B67D8B"/>
    <w:p w14:paraId="062517FF" w14:textId="77777777" w:rsidR="00B67D8B" w:rsidRPr="00B67D8B" w:rsidRDefault="00B67D8B" w:rsidP="00B67D8B">
      <w:pPr>
        <w:numPr>
          <w:ilvl w:val="0"/>
          <w:numId w:val="26"/>
        </w:numPr>
        <w:rPr>
          <w:b/>
          <w:bCs/>
        </w:rPr>
      </w:pPr>
      <w:r w:rsidRPr="00B67D8B">
        <w:rPr>
          <w:b/>
          <w:bCs/>
        </w:rPr>
        <w:t>Recommended Statistics for Reporting</w:t>
      </w:r>
    </w:p>
    <w:p w14:paraId="58163B39" w14:textId="77777777" w:rsidR="00B67D8B" w:rsidRPr="00B67D8B" w:rsidRDefault="00B67D8B" w:rsidP="00B67D8B">
      <w:pPr>
        <w:numPr>
          <w:ilvl w:val="0"/>
          <w:numId w:val="28"/>
        </w:numPr>
      </w:pPr>
      <w:r w:rsidRPr="00B67D8B">
        <w:rPr>
          <w:b/>
          <w:bCs/>
        </w:rPr>
        <w:t>Summary Events:</w:t>
      </w:r>
      <w:r w:rsidRPr="00B67D8B">
        <w:t xml:space="preserve"> Report up to six statistics (e.g., average, max, min, median, standard deviation, mode).</w:t>
      </w:r>
    </w:p>
    <w:p w14:paraId="67EACC47" w14:textId="37533CB6" w:rsidR="00B67D8B" w:rsidRPr="00B67D8B" w:rsidRDefault="00B67D8B" w:rsidP="00B67D8B">
      <w:pPr>
        <w:numPr>
          <w:ilvl w:val="0"/>
          <w:numId w:val="28"/>
        </w:numPr>
      </w:pPr>
      <w:r w:rsidRPr="00B67D8B">
        <w:rPr>
          <w:b/>
          <w:bCs/>
        </w:rPr>
        <w:t>File Formats</w:t>
      </w:r>
      <w:r w:rsidRPr="00B67D8B">
        <w:t xml:space="preserve">: Archive raw data in </w:t>
      </w:r>
      <w:r>
        <w:t>plain text</w:t>
      </w:r>
      <w:r w:rsidRPr="00B67D8B">
        <w:rPr>
          <w:b/>
          <w:bCs/>
        </w:rPr>
        <w:t>`.txt`</w:t>
      </w:r>
      <w:r w:rsidRPr="00B67D8B">
        <w:t xml:space="preserve"> or </w:t>
      </w:r>
      <w:r w:rsidRPr="00B67D8B">
        <w:rPr>
          <w:b/>
          <w:bCs/>
        </w:rPr>
        <w:t>`.zip`</w:t>
      </w:r>
      <w:r w:rsidRPr="00B67D8B">
        <w:t xml:space="preserve"> formats for both fixed data loggers and CTD sensors.</w:t>
      </w:r>
    </w:p>
    <w:p w14:paraId="1428E268" w14:textId="77777777" w:rsidR="00B67D8B" w:rsidRPr="00B67D8B" w:rsidRDefault="00B67D8B" w:rsidP="00B67D8B">
      <w:pPr>
        <w:numPr>
          <w:ilvl w:val="0"/>
          <w:numId w:val="26"/>
        </w:numPr>
        <w:rPr>
          <w:b/>
          <w:bCs/>
        </w:rPr>
      </w:pPr>
      <w:r w:rsidRPr="00B67D8B">
        <w:rPr>
          <w:b/>
          <w:bCs/>
        </w:rPr>
        <w:t>WQX Submission Guidelines</w:t>
      </w:r>
    </w:p>
    <w:p w14:paraId="7F8259AA" w14:textId="77777777" w:rsidR="00B67D8B" w:rsidRPr="00B67D8B" w:rsidRDefault="00B67D8B" w:rsidP="00B67D8B">
      <w:pPr>
        <w:numPr>
          <w:ilvl w:val="0"/>
          <w:numId w:val="29"/>
        </w:numPr>
      </w:pPr>
      <w:r w:rsidRPr="00B67D8B">
        <w:rPr>
          <w:b/>
          <w:bCs/>
        </w:rPr>
        <w:t>ProjectID Assignment</w:t>
      </w:r>
      <w:r w:rsidRPr="00B67D8B">
        <w:t>: Recommended to assign `</w:t>
      </w:r>
      <w:r w:rsidRPr="00B67D8B">
        <w:rPr>
          <w:b/>
          <w:bCs/>
        </w:rPr>
        <w:t xml:space="preserve">ProjectID = "EPACONTINUOUS"` </w:t>
      </w:r>
      <w:r w:rsidRPr="00B67D8B">
        <w:t>for continuous data identification.</w:t>
      </w:r>
    </w:p>
    <w:p w14:paraId="46B6BD34" w14:textId="77777777" w:rsidR="00B67D8B" w:rsidRPr="00B67D8B" w:rsidRDefault="00B67D8B" w:rsidP="00B67D8B">
      <w:pPr>
        <w:numPr>
          <w:ilvl w:val="1"/>
          <w:numId w:val="29"/>
        </w:numPr>
      </w:pPr>
      <w:r w:rsidRPr="00B67D8B">
        <w:t xml:space="preserve">For better support of data discoverability via Portal services which </w:t>
      </w:r>
      <w:proofErr w:type="gramStart"/>
      <w:r w:rsidRPr="00B67D8B">
        <w:t>does</w:t>
      </w:r>
      <w:proofErr w:type="gramEnd"/>
      <w:r w:rsidRPr="00B67D8B">
        <w:t xml:space="preserve"> not have filters by activity type to identify continuous data.</w:t>
      </w:r>
    </w:p>
    <w:p w14:paraId="6B8543D6" w14:textId="77777777" w:rsidR="00B67D8B" w:rsidRPr="00B67D8B" w:rsidRDefault="00B67D8B" w:rsidP="00B67D8B">
      <w:pPr>
        <w:numPr>
          <w:ilvl w:val="1"/>
          <w:numId w:val="29"/>
        </w:numPr>
      </w:pPr>
      <w:r w:rsidRPr="00B67D8B">
        <w:t>This project is created and owned by each organization to identify continuous data samples.</w:t>
      </w:r>
    </w:p>
    <w:p w14:paraId="728861AC" w14:textId="77777777" w:rsidR="00B67D8B" w:rsidRPr="00B67D8B" w:rsidRDefault="00B67D8B" w:rsidP="00B67D8B">
      <w:pPr>
        <w:numPr>
          <w:ilvl w:val="1"/>
          <w:numId w:val="29"/>
        </w:numPr>
      </w:pPr>
      <w:r w:rsidRPr="00B67D8B">
        <w:t>This ProjectID will be a national project via the Water Quality Portal</w:t>
      </w:r>
    </w:p>
    <w:p w14:paraId="75180A47" w14:textId="77777777" w:rsidR="00B67D8B" w:rsidRPr="00B67D8B" w:rsidRDefault="00B67D8B" w:rsidP="00B67D8B"/>
    <w:p w14:paraId="364F3D4E" w14:textId="77777777" w:rsidR="00B67D8B" w:rsidRPr="00B67D8B" w:rsidRDefault="00B67D8B" w:rsidP="00B67D8B">
      <w:pPr>
        <w:numPr>
          <w:ilvl w:val="0"/>
          <w:numId w:val="29"/>
        </w:numPr>
        <w:rPr>
          <w:b/>
          <w:bCs/>
        </w:rPr>
      </w:pPr>
      <w:r w:rsidRPr="00B67D8B">
        <w:rPr>
          <w:b/>
          <w:bCs/>
        </w:rPr>
        <w:lastRenderedPageBreak/>
        <w:t>Activity Type Codes:</w:t>
      </w:r>
    </w:p>
    <w:p w14:paraId="18EFA863" w14:textId="77777777" w:rsidR="00B67D8B" w:rsidRPr="00B67D8B" w:rsidRDefault="00B67D8B" w:rsidP="00B67D8B">
      <w:pPr>
        <w:numPr>
          <w:ilvl w:val="1"/>
          <w:numId w:val="29"/>
        </w:numPr>
      </w:pPr>
      <w:r w:rsidRPr="00B67D8B">
        <w:rPr>
          <w:color w:val="FF0000"/>
        </w:rPr>
        <w:t>Field Msr/Obs-Continuous Time Series</w:t>
      </w:r>
      <w:r w:rsidRPr="00B67D8B">
        <w:t>: Continuous measurements summarized as statistics.</w:t>
      </w:r>
    </w:p>
    <w:p w14:paraId="3D1BA9A5" w14:textId="77777777" w:rsidR="00B67D8B" w:rsidRPr="00B67D8B" w:rsidRDefault="00B67D8B" w:rsidP="00B67D8B">
      <w:pPr>
        <w:numPr>
          <w:ilvl w:val="1"/>
          <w:numId w:val="29"/>
        </w:numPr>
      </w:pPr>
      <w:r w:rsidRPr="00B67D8B">
        <w:rPr>
          <w:color w:val="FF0000"/>
        </w:rPr>
        <w:t>Field Msr/Obs-Portable Data Logger</w:t>
      </w:r>
      <w:r w:rsidRPr="00B67D8B">
        <w:t>: Short-term deployments (&lt;2 weeks).</w:t>
      </w:r>
    </w:p>
    <w:p w14:paraId="6947E3F3" w14:textId="77777777" w:rsidR="00B67D8B" w:rsidRPr="00B67D8B" w:rsidRDefault="00B67D8B" w:rsidP="00B67D8B">
      <w:pPr>
        <w:numPr>
          <w:ilvl w:val="1"/>
          <w:numId w:val="29"/>
        </w:numPr>
      </w:pPr>
      <w:r w:rsidRPr="00B67D8B">
        <w:rPr>
          <w:color w:val="FF0000"/>
        </w:rPr>
        <w:t>Sample-Integrated Time Series</w:t>
      </w:r>
      <w:r w:rsidRPr="00B67D8B">
        <w:t>: Discrete samples derived from continuous data.</w:t>
      </w:r>
    </w:p>
    <w:p w14:paraId="66C38C4C" w14:textId="77777777" w:rsidR="00B67D8B" w:rsidRPr="00B67D8B" w:rsidRDefault="00B67D8B" w:rsidP="00B67D8B">
      <w:r w:rsidRPr="00B67D8B">
        <w:t>You can see examples and some limited guidance included with the continuous time-series template at the bottom of the following page: </w:t>
      </w:r>
      <w:hyperlink r:id="rId16" w:tooltip="https://nam04.safelinks.protection.outlook.com/?url=https%3A%2F%2Fwww.epa.gov%2Fwaterdata%2Fwater-quality-exchange-web-template-files&amp;data=05%7C02%7Cstorres%40inteprosfed.com%7C90658a2cfd884f58002308dcfe8cdd86%7C01dcec7274424891b1b72ec269404d56%7C0%7C0%7C" w:history="1">
        <w:r w:rsidRPr="00B67D8B">
          <w:rPr>
            <w:rStyle w:val="Hyperlink"/>
          </w:rPr>
          <w:t>Water Quality Exchange Web Template Files | US EPA</w:t>
        </w:r>
      </w:hyperlink>
    </w:p>
    <w:p w14:paraId="13850167" w14:textId="77777777" w:rsidR="00B67D8B" w:rsidRPr="00B67D8B" w:rsidRDefault="00B67D8B" w:rsidP="00B67D8B">
      <w:hyperlink r:id="rId17" w:history="1">
        <w:r w:rsidRPr="00B67D8B">
          <w:rPr>
            <w:rStyle w:val="Hyperlink"/>
          </w:rPr>
          <w:t>WQX 3.0 - Template Continuous (Template) (zip)</w:t>
        </w:r>
      </w:hyperlink>
    </w:p>
    <w:p w14:paraId="655F08B5" w14:textId="77777777" w:rsidR="00B67D8B" w:rsidRPr="00B67D8B" w:rsidRDefault="00B67D8B" w:rsidP="00B67D8B">
      <w:r w:rsidRPr="00B67D8B">
        <w:t>The CTD typically also yields results for thermocline, halocline and pycnocline depths, which can be added to the results associated with the activity. An additional comment could be included to indicate that this activity is a fixed data logger. The activity information and the "Document/Graphic" file will be available on the Water Quality Portal after export to EPA.</w:t>
      </w:r>
    </w:p>
    <w:p w14:paraId="2229BE9D" w14:textId="77777777" w:rsidR="00B67D8B" w:rsidRPr="00B67D8B" w:rsidRDefault="00B67D8B" w:rsidP="00B67D8B">
      <w:pPr>
        <w:rPr>
          <w:b/>
          <w:bCs/>
        </w:rPr>
      </w:pPr>
      <w:r w:rsidRPr="00B67D8B">
        <w:rPr>
          <w:b/>
          <w:bCs/>
          <w:i/>
          <w:iCs/>
        </w:rPr>
        <w:t>Import Configuration:</w:t>
      </w:r>
    </w:p>
    <w:tbl>
      <w:tblPr>
        <w:tblW w:w="0" w:type="auto"/>
        <w:shd w:val="clear" w:color="auto" w:fill="FFFFFF"/>
        <w:tblCellMar>
          <w:left w:w="0" w:type="dxa"/>
          <w:right w:w="0" w:type="dxa"/>
        </w:tblCellMar>
        <w:tblLook w:val="04A0" w:firstRow="1" w:lastRow="0" w:firstColumn="1" w:lastColumn="0" w:noHBand="0" w:noVBand="1"/>
      </w:tblPr>
      <w:tblGrid>
        <w:gridCol w:w="5252"/>
        <w:gridCol w:w="2001"/>
      </w:tblGrid>
      <w:tr w:rsidR="00B67D8B" w:rsidRPr="00B67D8B" w14:paraId="5C551236" w14:textId="77777777">
        <w:trPr>
          <w:tblHeader/>
        </w:trPr>
        <w:tc>
          <w:tcPr>
            <w:tcW w:w="0" w:type="auto"/>
            <w:tcBorders>
              <w:top w:val="single" w:sz="8" w:space="0" w:color="1B1B1B"/>
              <w:left w:val="single" w:sz="8" w:space="0" w:color="1B1B1B"/>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3682598A" w14:textId="77777777" w:rsidR="00B67D8B" w:rsidRPr="00B67D8B" w:rsidRDefault="00B67D8B" w:rsidP="00B67D8B">
            <w:pPr>
              <w:rPr>
                <w:b/>
                <w:bCs/>
              </w:rPr>
            </w:pPr>
            <w:r w:rsidRPr="00B67D8B">
              <w:rPr>
                <w:b/>
                <w:bCs/>
              </w:rPr>
              <w:t>Element</w:t>
            </w:r>
          </w:p>
        </w:tc>
        <w:tc>
          <w:tcPr>
            <w:tcW w:w="0" w:type="auto"/>
            <w:tcBorders>
              <w:top w:val="single" w:sz="8" w:space="0" w:color="1B1B1B"/>
              <w:left w:val="nil"/>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41B1C811" w14:textId="77777777" w:rsidR="00B67D8B" w:rsidRPr="00B67D8B" w:rsidRDefault="00B67D8B" w:rsidP="00B67D8B">
            <w:pPr>
              <w:rPr>
                <w:b/>
                <w:bCs/>
              </w:rPr>
            </w:pPr>
            <w:r w:rsidRPr="00B67D8B">
              <w:rPr>
                <w:b/>
                <w:bCs/>
              </w:rPr>
              <w:t>Type of Data</w:t>
            </w:r>
          </w:p>
        </w:tc>
      </w:tr>
      <w:tr w:rsidR="00B67D8B" w:rsidRPr="00B67D8B" w14:paraId="0CC72D09" w14:textId="77777777">
        <w:tc>
          <w:tcPr>
            <w:tcW w:w="0" w:type="auto"/>
            <w:tcBorders>
              <w:top w:val="nil"/>
              <w:left w:val="single" w:sz="8" w:space="0" w:color="1B1B1B"/>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46A879E2" w14:textId="77777777" w:rsidR="00B67D8B" w:rsidRPr="00B67D8B" w:rsidRDefault="00B67D8B" w:rsidP="00B67D8B">
            <w:proofErr w:type="gramStart"/>
            <w:r w:rsidRPr="00B67D8B">
              <w:t>.WQX</w:t>
            </w:r>
            <w:proofErr w:type="gramEnd"/>
            <w:r w:rsidRPr="00B67D8B">
              <w:t xml:space="preserve"> 3.0 - Template Continuous (Template) ~ 7047</w:t>
            </w:r>
          </w:p>
        </w:tc>
        <w:tc>
          <w:tcPr>
            <w:tcW w:w="0" w:type="auto"/>
            <w:tcBorders>
              <w:top w:val="nil"/>
              <w:left w:val="nil"/>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4858ABE4" w14:textId="77777777" w:rsidR="00B67D8B" w:rsidRPr="00B67D8B" w:rsidRDefault="00B67D8B" w:rsidP="00B67D8B">
            <w:r w:rsidRPr="00B67D8B">
              <w:t>Results &amp; Activities</w:t>
            </w:r>
          </w:p>
        </w:tc>
      </w:tr>
    </w:tbl>
    <w:p w14:paraId="501778A0" w14:textId="77777777" w:rsidR="00B67D8B" w:rsidRPr="00B67D8B" w:rsidRDefault="00B67D8B" w:rsidP="00B67D8B"/>
    <w:sectPr w:rsidR="00B67D8B" w:rsidRPr="00B67D8B" w:rsidSect="005F54DE">
      <w:pgSz w:w="15840" w:h="12240" w:orient="landscape"/>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F15"/>
    <w:multiLevelType w:val="hybridMultilevel"/>
    <w:tmpl w:val="19589D6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755C2E"/>
    <w:multiLevelType w:val="multilevel"/>
    <w:tmpl w:val="2A24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03E35"/>
    <w:multiLevelType w:val="multilevel"/>
    <w:tmpl w:val="823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1EA"/>
    <w:multiLevelType w:val="multilevel"/>
    <w:tmpl w:val="C7A4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1986"/>
    <w:multiLevelType w:val="hybridMultilevel"/>
    <w:tmpl w:val="31B0A1E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17A66B59"/>
    <w:multiLevelType w:val="multilevel"/>
    <w:tmpl w:val="2BD87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83FFC"/>
    <w:multiLevelType w:val="multilevel"/>
    <w:tmpl w:val="E0C0B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340B8"/>
    <w:multiLevelType w:val="multilevel"/>
    <w:tmpl w:val="496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14B2F"/>
    <w:multiLevelType w:val="multilevel"/>
    <w:tmpl w:val="30FA4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E008E8"/>
    <w:multiLevelType w:val="hybridMultilevel"/>
    <w:tmpl w:val="044653D8"/>
    <w:lvl w:ilvl="0" w:tplc="04090001">
      <w:start w:val="1"/>
      <w:numFmt w:val="bullet"/>
      <w:lvlText w:val=""/>
      <w:lvlJc w:val="left"/>
      <w:pPr>
        <w:ind w:left="720" w:hanging="360"/>
      </w:pPr>
      <w:rPr>
        <w:rFonts w:ascii="Symbol" w:hAnsi="Symbol" w:hint="default"/>
      </w:rPr>
    </w:lvl>
    <w:lvl w:ilvl="1" w:tplc="D932CA8A">
      <w:numFmt w:val="bullet"/>
      <w:lvlText w:val="-"/>
      <w:lvlJc w:val="left"/>
      <w:pPr>
        <w:ind w:left="1440" w:hanging="360"/>
      </w:pPr>
      <w:rPr>
        <w:rFonts w:ascii="Aptos" w:eastAsia="Calibri" w:hAnsi="Apto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9E6C01"/>
    <w:multiLevelType w:val="multilevel"/>
    <w:tmpl w:val="74EE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765C5"/>
    <w:multiLevelType w:val="multilevel"/>
    <w:tmpl w:val="E772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22815"/>
    <w:multiLevelType w:val="multilevel"/>
    <w:tmpl w:val="C408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AE2BED"/>
    <w:multiLevelType w:val="hybridMultilevel"/>
    <w:tmpl w:val="122A3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D12F5"/>
    <w:multiLevelType w:val="multilevel"/>
    <w:tmpl w:val="CB7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A2EC6"/>
    <w:multiLevelType w:val="multilevel"/>
    <w:tmpl w:val="4EAC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B36CB"/>
    <w:multiLevelType w:val="multilevel"/>
    <w:tmpl w:val="83C48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5F05F6"/>
    <w:multiLevelType w:val="multilevel"/>
    <w:tmpl w:val="D66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53B30"/>
    <w:multiLevelType w:val="multilevel"/>
    <w:tmpl w:val="BE28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310C2"/>
    <w:multiLevelType w:val="hybridMultilevel"/>
    <w:tmpl w:val="40BC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4932187">
    <w:abstractNumId w:val="12"/>
  </w:num>
  <w:num w:numId="2" w16cid:durableId="222066384">
    <w:abstractNumId w:val="7"/>
  </w:num>
  <w:num w:numId="3" w16cid:durableId="709038031">
    <w:abstractNumId w:val="6"/>
  </w:num>
  <w:num w:numId="4" w16cid:durableId="626854602">
    <w:abstractNumId w:val="6"/>
    <w:lvlOverride w:ilvl="1">
      <w:lvl w:ilvl="1">
        <w:numFmt w:val="decimal"/>
        <w:lvlText w:val="%2."/>
        <w:lvlJc w:val="left"/>
      </w:lvl>
    </w:lvlOverride>
  </w:num>
  <w:num w:numId="5" w16cid:durableId="2020352027">
    <w:abstractNumId w:val="6"/>
    <w:lvlOverride w:ilvl="1">
      <w:lvl w:ilvl="1">
        <w:numFmt w:val="decimal"/>
        <w:lvlText w:val="%2."/>
        <w:lvlJc w:val="left"/>
      </w:lvl>
    </w:lvlOverride>
  </w:num>
  <w:num w:numId="6" w16cid:durableId="1253975703">
    <w:abstractNumId w:val="6"/>
    <w:lvlOverride w:ilvl="1">
      <w:lvl w:ilvl="1">
        <w:numFmt w:val="decimal"/>
        <w:lvlText w:val="%2."/>
        <w:lvlJc w:val="left"/>
      </w:lvl>
    </w:lvlOverride>
  </w:num>
  <w:num w:numId="7" w16cid:durableId="1902208501">
    <w:abstractNumId w:val="6"/>
    <w:lvlOverride w:ilvl="1">
      <w:lvl w:ilvl="1">
        <w:numFmt w:val="decimal"/>
        <w:lvlText w:val="%2."/>
        <w:lvlJc w:val="left"/>
      </w:lvl>
    </w:lvlOverride>
  </w:num>
  <w:num w:numId="8" w16cid:durableId="272055426">
    <w:abstractNumId w:val="6"/>
    <w:lvlOverride w:ilvl="1">
      <w:lvl w:ilvl="1">
        <w:numFmt w:val="decimal"/>
        <w:lvlText w:val="%2."/>
        <w:lvlJc w:val="left"/>
      </w:lvl>
    </w:lvlOverride>
  </w:num>
  <w:num w:numId="9" w16cid:durableId="167143020">
    <w:abstractNumId w:val="14"/>
  </w:num>
  <w:num w:numId="10" w16cid:durableId="1092701062">
    <w:abstractNumId w:val="1"/>
  </w:num>
  <w:num w:numId="11" w16cid:durableId="477264893">
    <w:abstractNumId w:val="10"/>
  </w:num>
  <w:num w:numId="12" w16cid:durableId="45613965">
    <w:abstractNumId w:val="3"/>
  </w:num>
  <w:num w:numId="13" w16cid:durableId="1615946160">
    <w:abstractNumId w:val="8"/>
  </w:num>
  <w:num w:numId="14" w16cid:durableId="100536241">
    <w:abstractNumId w:val="8"/>
    <w:lvlOverride w:ilvl="1">
      <w:lvl w:ilvl="1">
        <w:numFmt w:val="decimal"/>
        <w:lvlText w:val="%2."/>
        <w:lvlJc w:val="left"/>
      </w:lvl>
    </w:lvlOverride>
  </w:num>
  <w:num w:numId="15" w16cid:durableId="1671324953">
    <w:abstractNumId w:val="8"/>
    <w:lvlOverride w:ilvl="1">
      <w:lvl w:ilvl="1">
        <w:numFmt w:val="decimal"/>
        <w:lvlText w:val="%2."/>
        <w:lvlJc w:val="left"/>
      </w:lvl>
    </w:lvlOverride>
  </w:num>
  <w:num w:numId="16" w16cid:durableId="472136212">
    <w:abstractNumId w:val="8"/>
    <w:lvlOverride w:ilvl="1">
      <w:lvl w:ilvl="1">
        <w:numFmt w:val="decimal"/>
        <w:lvlText w:val="%2."/>
        <w:lvlJc w:val="left"/>
      </w:lvl>
    </w:lvlOverride>
  </w:num>
  <w:num w:numId="17" w16cid:durableId="764963922">
    <w:abstractNumId w:val="16"/>
  </w:num>
  <w:num w:numId="18" w16cid:durableId="1285188090">
    <w:abstractNumId w:val="16"/>
    <w:lvlOverride w:ilvl="1">
      <w:lvl w:ilvl="1">
        <w:numFmt w:val="decimal"/>
        <w:lvlText w:val="%2."/>
        <w:lvlJc w:val="left"/>
      </w:lvl>
    </w:lvlOverride>
  </w:num>
  <w:num w:numId="19" w16cid:durableId="1981154535">
    <w:abstractNumId w:val="16"/>
    <w:lvlOverride w:ilvl="1">
      <w:lvl w:ilvl="1">
        <w:numFmt w:val="decimal"/>
        <w:lvlText w:val="%2."/>
        <w:lvlJc w:val="left"/>
      </w:lvl>
    </w:lvlOverride>
  </w:num>
  <w:num w:numId="20" w16cid:durableId="1598362893">
    <w:abstractNumId w:val="16"/>
    <w:lvlOverride w:ilvl="1">
      <w:lvl w:ilvl="1">
        <w:numFmt w:val="decimal"/>
        <w:lvlText w:val="%2."/>
        <w:lvlJc w:val="left"/>
      </w:lvl>
    </w:lvlOverride>
  </w:num>
  <w:num w:numId="21" w16cid:durableId="786848156">
    <w:abstractNumId w:val="11"/>
  </w:num>
  <w:num w:numId="22" w16cid:durableId="786892005">
    <w:abstractNumId w:val="2"/>
  </w:num>
  <w:num w:numId="23" w16cid:durableId="869337572">
    <w:abstractNumId w:val="18"/>
  </w:num>
  <w:num w:numId="24" w16cid:durableId="22904468">
    <w:abstractNumId w:val="17"/>
  </w:num>
  <w:num w:numId="25" w16cid:durableId="931550605">
    <w:abstractNumId w:val="15"/>
  </w:num>
  <w:num w:numId="26" w16cid:durableId="157366338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703618">
    <w:abstractNumId w:val="19"/>
  </w:num>
  <w:num w:numId="28" w16cid:durableId="2056537174">
    <w:abstractNumId w:val="4"/>
  </w:num>
  <w:num w:numId="29" w16cid:durableId="1545287366">
    <w:abstractNumId w:val="9"/>
  </w:num>
  <w:num w:numId="30" w16cid:durableId="360741942">
    <w:abstractNumId w:val="13"/>
  </w:num>
  <w:num w:numId="31" w16cid:durableId="20623673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78"/>
    <w:rsid w:val="000220DD"/>
    <w:rsid w:val="00077B8A"/>
    <w:rsid w:val="000B3747"/>
    <w:rsid w:val="000F692E"/>
    <w:rsid w:val="00154B15"/>
    <w:rsid w:val="00175A87"/>
    <w:rsid w:val="00185459"/>
    <w:rsid w:val="001F72F7"/>
    <w:rsid w:val="00254B03"/>
    <w:rsid w:val="002620E6"/>
    <w:rsid w:val="00275B4B"/>
    <w:rsid w:val="002D0452"/>
    <w:rsid w:val="00343A3C"/>
    <w:rsid w:val="003D7C3F"/>
    <w:rsid w:val="003E740F"/>
    <w:rsid w:val="00401EBE"/>
    <w:rsid w:val="00500DE8"/>
    <w:rsid w:val="005139BC"/>
    <w:rsid w:val="00550881"/>
    <w:rsid w:val="00580B67"/>
    <w:rsid w:val="005843A9"/>
    <w:rsid w:val="0059174B"/>
    <w:rsid w:val="005F54DE"/>
    <w:rsid w:val="0061309A"/>
    <w:rsid w:val="00695C40"/>
    <w:rsid w:val="0069659B"/>
    <w:rsid w:val="00736C38"/>
    <w:rsid w:val="00750F30"/>
    <w:rsid w:val="007616A7"/>
    <w:rsid w:val="007A163F"/>
    <w:rsid w:val="007E55BD"/>
    <w:rsid w:val="008A5194"/>
    <w:rsid w:val="00966247"/>
    <w:rsid w:val="009C151E"/>
    <w:rsid w:val="009F771D"/>
    <w:rsid w:val="00A059D2"/>
    <w:rsid w:val="00A97AD1"/>
    <w:rsid w:val="00AD47ED"/>
    <w:rsid w:val="00B0057A"/>
    <w:rsid w:val="00B41FC4"/>
    <w:rsid w:val="00B57C59"/>
    <w:rsid w:val="00B67D8B"/>
    <w:rsid w:val="00C14507"/>
    <w:rsid w:val="00C872F8"/>
    <w:rsid w:val="00CB627A"/>
    <w:rsid w:val="00CC0055"/>
    <w:rsid w:val="00CF7141"/>
    <w:rsid w:val="00D16747"/>
    <w:rsid w:val="00D16997"/>
    <w:rsid w:val="00D553AF"/>
    <w:rsid w:val="00DD0E4A"/>
    <w:rsid w:val="00E47049"/>
    <w:rsid w:val="00E560F2"/>
    <w:rsid w:val="00E67EA0"/>
    <w:rsid w:val="00EA40B5"/>
    <w:rsid w:val="00F1392F"/>
    <w:rsid w:val="00F7648A"/>
    <w:rsid w:val="00F9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B2F9"/>
  <w15:chartTrackingRefBased/>
  <w15:docId w15:val="{9A466BE3-6116-4350-B83C-F7B17D1F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278"/>
    <w:rPr>
      <w:rFonts w:eastAsiaTheme="majorEastAsia" w:cstheme="majorBidi"/>
      <w:color w:val="272727" w:themeColor="text1" w:themeTint="D8"/>
    </w:rPr>
  </w:style>
  <w:style w:type="paragraph" w:styleId="Title">
    <w:name w:val="Title"/>
    <w:basedOn w:val="Normal"/>
    <w:next w:val="Normal"/>
    <w:link w:val="TitleChar"/>
    <w:uiPriority w:val="10"/>
    <w:qFormat/>
    <w:rsid w:val="00F9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278"/>
    <w:pPr>
      <w:spacing w:before="160"/>
      <w:jc w:val="center"/>
    </w:pPr>
    <w:rPr>
      <w:i/>
      <w:iCs/>
      <w:color w:val="404040" w:themeColor="text1" w:themeTint="BF"/>
    </w:rPr>
  </w:style>
  <w:style w:type="character" w:customStyle="1" w:styleId="QuoteChar">
    <w:name w:val="Quote Char"/>
    <w:basedOn w:val="DefaultParagraphFont"/>
    <w:link w:val="Quote"/>
    <w:uiPriority w:val="29"/>
    <w:rsid w:val="00F96278"/>
    <w:rPr>
      <w:i/>
      <w:iCs/>
      <w:color w:val="404040" w:themeColor="text1" w:themeTint="BF"/>
    </w:rPr>
  </w:style>
  <w:style w:type="paragraph" w:styleId="ListParagraph">
    <w:name w:val="List Paragraph"/>
    <w:basedOn w:val="Normal"/>
    <w:uiPriority w:val="34"/>
    <w:qFormat/>
    <w:rsid w:val="00F96278"/>
    <w:pPr>
      <w:ind w:left="720"/>
      <w:contextualSpacing/>
    </w:pPr>
  </w:style>
  <w:style w:type="character" w:styleId="IntenseEmphasis">
    <w:name w:val="Intense Emphasis"/>
    <w:basedOn w:val="DefaultParagraphFont"/>
    <w:uiPriority w:val="21"/>
    <w:qFormat/>
    <w:rsid w:val="00F96278"/>
    <w:rPr>
      <w:i/>
      <w:iCs/>
      <w:color w:val="0F4761" w:themeColor="accent1" w:themeShade="BF"/>
    </w:rPr>
  </w:style>
  <w:style w:type="paragraph" w:styleId="IntenseQuote">
    <w:name w:val="Intense Quote"/>
    <w:basedOn w:val="Normal"/>
    <w:next w:val="Normal"/>
    <w:link w:val="IntenseQuoteChar"/>
    <w:uiPriority w:val="30"/>
    <w:qFormat/>
    <w:rsid w:val="00F9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278"/>
    <w:rPr>
      <w:i/>
      <w:iCs/>
      <w:color w:val="0F4761" w:themeColor="accent1" w:themeShade="BF"/>
    </w:rPr>
  </w:style>
  <w:style w:type="character" w:styleId="IntenseReference">
    <w:name w:val="Intense Reference"/>
    <w:basedOn w:val="DefaultParagraphFont"/>
    <w:uiPriority w:val="32"/>
    <w:qFormat/>
    <w:rsid w:val="00F96278"/>
    <w:rPr>
      <w:b/>
      <w:bCs/>
      <w:smallCaps/>
      <w:color w:val="0F4761" w:themeColor="accent1" w:themeShade="BF"/>
      <w:spacing w:val="5"/>
    </w:rPr>
  </w:style>
  <w:style w:type="character" w:styleId="Hyperlink">
    <w:name w:val="Hyperlink"/>
    <w:basedOn w:val="DefaultParagraphFont"/>
    <w:uiPriority w:val="99"/>
    <w:unhideWhenUsed/>
    <w:rsid w:val="00F96278"/>
    <w:rPr>
      <w:color w:val="467886" w:themeColor="hyperlink"/>
      <w:u w:val="single"/>
    </w:rPr>
  </w:style>
  <w:style w:type="character" w:styleId="UnresolvedMention">
    <w:name w:val="Unresolved Mention"/>
    <w:basedOn w:val="DefaultParagraphFont"/>
    <w:uiPriority w:val="99"/>
    <w:semiHidden/>
    <w:unhideWhenUsed/>
    <w:rsid w:val="00F96278"/>
    <w:rPr>
      <w:color w:val="605E5C"/>
      <w:shd w:val="clear" w:color="auto" w:fill="E1DFDD"/>
    </w:rPr>
  </w:style>
  <w:style w:type="character" w:styleId="FollowedHyperlink">
    <w:name w:val="FollowedHyperlink"/>
    <w:basedOn w:val="DefaultParagraphFont"/>
    <w:uiPriority w:val="99"/>
    <w:semiHidden/>
    <w:unhideWhenUsed/>
    <w:rsid w:val="00E560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ctl00$cphBodyBase$cphBody$grdImportConfigurationList$ctl00$ctl02$ctl01$ctl03','')"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__doPostBack('ctl00$ctl00$cphBodyBase$cphBody$grdImportConfigurationList$ctl00$ctl02$ctl01$ctl02','')" TargetMode="External"/><Relationship Id="rId12" Type="http://schemas.openxmlformats.org/officeDocument/2006/relationships/hyperlink" Target="https://gaftp.epa.gov/Storet/wqx/examples/CROSSTAB_WideFORMAT/" TargetMode="External"/><Relationship Id="rId17" Type="http://schemas.openxmlformats.org/officeDocument/2006/relationships/hyperlink" Target="https://www.epa.gov/system/files/other-files/2024-02/wqxweb3_continuous_package.zip" TargetMode="External"/><Relationship Id="rId2" Type="http://schemas.openxmlformats.org/officeDocument/2006/relationships/styles" Target="styles.xml"/><Relationship Id="rId16" Type="http://schemas.openxmlformats.org/officeDocument/2006/relationships/hyperlink" Target="https://nam04.safelinks.protection.outlook.com/?url=https%3A%2F%2Fwww.epa.gov%2Fwaterdata%2Fwater-quality-exchange-web-template-files&amp;data=05%7C02%7Cstorres%40inteprosfed.com%7C90658a2cfd884f58002308dcfe8cdd86%7C01dcec7274424891b1b72ec269404d56%7C0%7C0%7C638665128255115390%7CUnknown%7CTWFpbGZsb3d8eyJWIjoiMC4wLjAwMDAiLCJQIjoiV2luMzIiLCJBTiI6Ik1haWwiLCJXVCI6Mn0%3D%7C0%7C%7C%7C&amp;sdata=VyB68ETIG2giipzu7jJCYi3rmKQyoGt26iTnq14qFZQ%3D&amp;reserved=0" TargetMode="External"/><Relationship Id="rId1" Type="http://schemas.openxmlformats.org/officeDocument/2006/relationships/numbering" Target="numbering.xml"/><Relationship Id="rId6" Type="http://schemas.openxmlformats.org/officeDocument/2006/relationships/hyperlink" Target="javascript:__doPostBack('ctl00$ctl00$cphBodyBase$cphBody$grdImportConfigurationList$ctl00$ctl02$ctl01$ctl01','')" TargetMode="External"/><Relationship Id="rId11" Type="http://schemas.openxmlformats.org/officeDocument/2006/relationships/hyperlink" Target="https://cdx.epa.gov/WQXWeb/ImportConfigurationDetail.aspx?mode=import&amp;impcfg_uid=9279" TargetMode="External"/><Relationship Id="rId5" Type="http://schemas.openxmlformats.org/officeDocument/2006/relationships/hyperlink" Target="javascript:__doPostBack('ctl00$ctl00$cphBodyBase$cphBody$grdImportConfigurationList$ctl00$ctl02$ctl01$ctl00','')" TargetMode="External"/><Relationship Id="rId15" Type="http://schemas.openxmlformats.org/officeDocument/2006/relationships/hyperlink" Target="https://nalms.shinyapps.io/ContDataQC/" TargetMode="External"/><Relationship Id="rId10" Type="http://schemas.openxmlformats.org/officeDocument/2006/relationships/hyperlink" Target="https://cdx.epa.gov/WQXWeb/ImportConfigurationDetail.aspx?mode=import&amp;impcfg_uid=9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__doPostBack('ctl00$ctl00$cphBodyBase$cphBody$grdImportConfigurationList$ctl00$ctl02$ctl01$ctl04','')" TargetMode="External"/><Relationship Id="rId14" Type="http://schemas.openxmlformats.org/officeDocument/2006/relationships/hyperlink" Target="https://contdatasumviz_2.app.clo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1471</Words>
  <Characters>8283</Characters>
  <Application>Microsoft Office Word</Application>
  <DocSecurity>0</DocSecurity>
  <Lines>230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13</cp:revision>
  <dcterms:created xsi:type="dcterms:W3CDTF">2026-03-26T15:23:00Z</dcterms:created>
  <dcterms:modified xsi:type="dcterms:W3CDTF">2026-03-26T15:55:00Z</dcterms:modified>
</cp:coreProperties>
</file>