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64C6" w:rsidRPr="00885A6E" w:rsidRDefault="004F64C6" w:rsidP="00F26250">
      <w:pPr>
        <w:spacing w:after="0" w:line="240" w:lineRule="auto"/>
        <w:jc w:val="center"/>
        <w:rPr>
          <w:b/>
          <w:color w:val="4F81BD" w:themeColor="accent1"/>
          <w:sz w:val="48"/>
          <w:szCs w:val="48"/>
        </w:rPr>
      </w:pPr>
      <w:r w:rsidRPr="00885A6E">
        <w:rPr>
          <w:b/>
          <w:color w:val="4F81BD" w:themeColor="accent1"/>
          <w:sz w:val="48"/>
          <w:szCs w:val="48"/>
        </w:rPr>
        <w:t>Water Quality Framework</w:t>
      </w:r>
    </w:p>
    <w:p w:rsidR="00885A6E" w:rsidRPr="00885A6E" w:rsidRDefault="00885A6E" w:rsidP="00F26250">
      <w:pPr>
        <w:spacing w:after="0" w:line="240" w:lineRule="auto"/>
        <w:jc w:val="center"/>
        <w:rPr>
          <w:i/>
          <w:sz w:val="28"/>
          <w:szCs w:val="28"/>
        </w:rPr>
      </w:pPr>
      <w:r w:rsidRPr="00885A6E">
        <w:rPr>
          <w:i/>
          <w:sz w:val="32"/>
          <w:szCs w:val="32"/>
        </w:rPr>
        <w:t>Handout for August 2013 ACWA Meeting</w:t>
      </w:r>
      <w:r w:rsidRPr="00885A6E">
        <w:rPr>
          <w:i/>
          <w:sz w:val="28"/>
          <w:szCs w:val="28"/>
        </w:rPr>
        <w:t xml:space="preserve"> </w:t>
      </w:r>
    </w:p>
    <w:p w:rsidR="00013EA5" w:rsidRDefault="00013EA5" w:rsidP="004F64C6">
      <w:pPr>
        <w:rPr>
          <w:b/>
          <w:sz w:val="28"/>
          <w:szCs w:val="28"/>
        </w:rPr>
        <w:sectPr w:rsidR="00013EA5" w:rsidSect="00885A6E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885A6E" w:rsidRDefault="00885A6E" w:rsidP="00FE5640">
      <w:pPr>
        <w:rPr>
          <w:b/>
          <w:sz w:val="28"/>
          <w:szCs w:val="28"/>
        </w:rPr>
      </w:pPr>
    </w:p>
    <w:p w:rsidR="004F64C6" w:rsidRPr="003A310B" w:rsidRDefault="004F64C6" w:rsidP="00FE5640">
      <w:pPr>
        <w:rPr>
          <w:b/>
          <w:color w:val="17365D" w:themeColor="text2" w:themeShade="BF"/>
          <w:sz w:val="28"/>
          <w:szCs w:val="28"/>
        </w:rPr>
      </w:pPr>
      <w:r w:rsidRPr="003A310B">
        <w:rPr>
          <w:b/>
          <w:color w:val="17365D" w:themeColor="text2" w:themeShade="BF"/>
          <w:sz w:val="28"/>
          <w:szCs w:val="28"/>
        </w:rPr>
        <w:t>What is the Water Quality Framework?</w:t>
      </w:r>
    </w:p>
    <w:p w:rsidR="00570F46" w:rsidRDefault="00492388" w:rsidP="00FE564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</w:t>
      </w:r>
      <w:r w:rsidR="00570F46">
        <w:rPr>
          <w:rFonts w:ascii="Times New Roman" w:hAnsi="Times New Roman" w:cs="Times New Roman"/>
        </w:rPr>
        <w:t xml:space="preserve">Water Quality </w:t>
      </w:r>
      <w:r>
        <w:rPr>
          <w:rFonts w:ascii="Times New Roman" w:hAnsi="Times New Roman" w:cs="Times New Roman"/>
        </w:rPr>
        <w:t xml:space="preserve">Framework is </w:t>
      </w:r>
      <w:r w:rsidRPr="004F64C6">
        <w:rPr>
          <w:rFonts w:ascii="Times New Roman" w:hAnsi="Times New Roman" w:cs="Times New Roman"/>
        </w:rPr>
        <w:t xml:space="preserve">a new way of thinking about how </w:t>
      </w:r>
      <w:r>
        <w:rPr>
          <w:rFonts w:ascii="Times New Roman" w:hAnsi="Times New Roman" w:cs="Times New Roman"/>
        </w:rPr>
        <w:t>EPA’s</w:t>
      </w:r>
      <w:r w:rsidRPr="004F64C6">
        <w:rPr>
          <w:rFonts w:ascii="Times New Roman" w:hAnsi="Times New Roman" w:cs="Times New Roman"/>
        </w:rPr>
        <w:t xml:space="preserve"> </w:t>
      </w:r>
      <w:r w:rsidR="00885A6E">
        <w:rPr>
          <w:rFonts w:ascii="Times New Roman" w:hAnsi="Times New Roman" w:cs="Times New Roman"/>
        </w:rPr>
        <w:t xml:space="preserve">data </w:t>
      </w:r>
      <w:r w:rsidR="00315EB3">
        <w:rPr>
          <w:rFonts w:ascii="Times New Roman" w:hAnsi="Times New Roman" w:cs="Times New Roman"/>
        </w:rPr>
        <w:t xml:space="preserve">and information </w:t>
      </w:r>
      <w:r w:rsidR="00885A6E">
        <w:rPr>
          <w:rFonts w:ascii="Times New Roman" w:hAnsi="Times New Roman" w:cs="Times New Roman"/>
        </w:rPr>
        <w:t>s</w:t>
      </w:r>
      <w:r w:rsidRPr="004F64C6">
        <w:rPr>
          <w:rFonts w:ascii="Times New Roman" w:hAnsi="Times New Roman" w:cs="Times New Roman"/>
        </w:rPr>
        <w:t xml:space="preserve">ystems can be better integrated </w:t>
      </w:r>
      <w:r w:rsidR="00885A6E">
        <w:rPr>
          <w:rFonts w:ascii="Times New Roman" w:hAnsi="Times New Roman" w:cs="Times New Roman"/>
        </w:rPr>
        <w:t xml:space="preserve">to </w:t>
      </w:r>
      <w:r w:rsidR="00C458B9">
        <w:rPr>
          <w:rFonts w:ascii="Times New Roman" w:hAnsi="Times New Roman" w:cs="Times New Roman"/>
        </w:rPr>
        <w:t xml:space="preserve">more </w:t>
      </w:r>
      <w:r w:rsidR="00315EB3">
        <w:rPr>
          <w:rFonts w:ascii="Times New Roman" w:hAnsi="Times New Roman" w:cs="Times New Roman"/>
        </w:rPr>
        <w:t>effectively</w:t>
      </w:r>
      <w:r w:rsidR="00C458B9">
        <w:rPr>
          <w:rFonts w:ascii="Times New Roman" w:hAnsi="Times New Roman" w:cs="Times New Roman"/>
        </w:rPr>
        <w:t xml:space="preserve"> </w:t>
      </w:r>
      <w:r w:rsidR="00885A6E">
        <w:rPr>
          <w:rFonts w:ascii="Times New Roman" w:hAnsi="Times New Roman" w:cs="Times New Roman"/>
        </w:rPr>
        <w:t>support water qua</w:t>
      </w:r>
      <w:r w:rsidR="00F26250">
        <w:rPr>
          <w:rFonts w:ascii="Times New Roman" w:hAnsi="Times New Roman" w:cs="Times New Roman"/>
        </w:rPr>
        <w:t>lity managers.</w:t>
      </w:r>
      <w:r w:rsidR="00885A6E">
        <w:rPr>
          <w:rFonts w:ascii="Times New Roman" w:hAnsi="Times New Roman" w:cs="Times New Roman"/>
        </w:rPr>
        <w:t xml:space="preserve"> </w:t>
      </w:r>
      <w:r w:rsidR="00570F46">
        <w:rPr>
          <w:rFonts w:ascii="Times New Roman" w:hAnsi="Times New Roman" w:cs="Times New Roman"/>
        </w:rPr>
        <w:t xml:space="preserve"> </w:t>
      </w:r>
      <w:r w:rsidR="00013EA5">
        <w:rPr>
          <w:rFonts w:ascii="Times New Roman" w:hAnsi="Times New Roman" w:cs="Times New Roman"/>
          <w:noProof/>
        </w:rPr>
        <w:drawing>
          <wp:anchor distT="36576" distB="36576" distL="36576" distR="36576" simplePos="0" relativeHeight="251658240" behindDoc="1" locked="0" layoutInCell="1" allowOverlap="1">
            <wp:simplePos x="0" y="0"/>
            <wp:positionH relativeFrom="column">
              <wp:posOffset>2063750</wp:posOffset>
            </wp:positionH>
            <wp:positionV relativeFrom="paragraph">
              <wp:posOffset>1772920</wp:posOffset>
            </wp:positionV>
            <wp:extent cx="1974215" cy="1914525"/>
            <wp:effectExtent l="19050" t="0" r="6985" b="0"/>
            <wp:wrapTight wrapText="bothSides">
              <wp:wrapPolygon edited="0">
                <wp:start x="8962" y="0"/>
                <wp:lineTo x="2918" y="1290"/>
                <wp:lineTo x="1251" y="2149"/>
                <wp:lineTo x="1251" y="6878"/>
                <wp:lineTo x="0" y="9027"/>
                <wp:lineTo x="-208" y="11391"/>
                <wp:lineTo x="834" y="13755"/>
                <wp:lineTo x="1251" y="19343"/>
                <wp:lineTo x="3960" y="20633"/>
                <wp:lineTo x="8129" y="20633"/>
                <wp:lineTo x="8962" y="21493"/>
                <wp:lineTo x="12089" y="21493"/>
                <wp:lineTo x="17299" y="20633"/>
                <wp:lineTo x="21051" y="18913"/>
                <wp:lineTo x="20843" y="13755"/>
                <wp:lineTo x="21676" y="10531"/>
                <wp:lineTo x="21676" y="10316"/>
                <wp:lineTo x="21468" y="9457"/>
                <wp:lineTo x="20634" y="6878"/>
                <wp:lineTo x="21051" y="2149"/>
                <wp:lineTo x="19175" y="1290"/>
                <wp:lineTo x="12506" y="0"/>
                <wp:lineTo x="8962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l="19162" t="1517" r="20615" b="14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4215" cy="1914525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="00885A6E">
        <w:rPr>
          <w:rFonts w:ascii="Times New Roman" w:hAnsi="Times New Roman" w:cs="Times New Roman"/>
        </w:rPr>
        <w:t>Ultimately, the Framework will</w:t>
      </w:r>
      <w:r w:rsidR="004F64C6" w:rsidRPr="004F64C6">
        <w:rPr>
          <w:rFonts w:ascii="Times New Roman" w:hAnsi="Times New Roman" w:cs="Times New Roman"/>
        </w:rPr>
        <w:t xml:space="preserve"> streamline water quality assessment and reporting</w:t>
      </w:r>
      <w:r w:rsidR="00885A6E">
        <w:rPr>
          <w:rFonts w:ascii="Times New Roman" w:hAnsi="Times New Roman" w:cs="Times New Roman"/>
        </w:rPr>
        <w:t xml:space="preserve"> while providing a more complete picture of the nation’s water quality. </w:t>
      </w:r>
      <w:r w:rsidR="004F64C6">
        <w:rPr>
          <w:rFonts w:ascii="Times New Roman" w:hAnsi="Times New Roman" w:cs="Times New Roman"/>
        </w:rPr>
        <w:t xml:space="preserve"> The Framework is i</w:t>
      </w:r>
      <w:r w:rsidR="00885A6E">
        <w:rPr>
          <w:rFonts w:ascii="Times New Roman" w:hAnsi="Times New Roman" w:cs="Times New Roman"/>
        </w:rPr>
        <w:t>n line with EPA’s E-Enterprise I</w:t>
      </w:r>
      <w:r w:rsidR="004F64C6">
        <w:rPr>
          <w:rFonts w:ascii="Times New Roman" w:hAnsi="Times New Roman" w:cs="Times New Roman"/>
        </w:rPr>
        <w:t>nitiative</w:t>
      </w:r>
      <w:r w:rsidR="00570F46">
        <w:rPr>
          <w:rFonts w:ascii="Times New Roman" w:hAnsi="Times New Roman" w:cs="Times New Roman"/>
        </w:rPr>
        <w:t>,</w:t>
      </w:r>
      <w:r w:rsidR="004F64C6">
        <w:rPr>
          <w:rFonts w:ascii="Times New Roman" w:hAnsi="Times New Roman" w:cs="Times New Roman"/>
        </w:rPr>
        <w:t xml:space="preserve"> which seeks to </w:t>
      </w:r>
      <w:r w:rsidR="0080649D">
        <w:rPr>
          <w:rFonts w:ascii="Times New Roman" w:hAnsi="Times New Roman" w:cs="Times New Roman"/>
        </w:rPr>
        <w:t xml:space="preserve">assess and reformulate EPA’s business process to </w:t>
      </w:r>
      <w:r w:rsidR="00885A6E">
        <w:rPr>
          <w:rFonts w:ascii="Times New Roman" w:hAnsi="Times New Roman" w:cs="Times New Roman"/>
        </w:rPr>
        <w:t>reduce burden through the improved use of technology.</w:t>
      </w:r>
    </w:p>
    <w:p w:rsidR="00FE5640" w:rsidRPr="003A310B" w:rsidRDefault="00FE5640" w:rsidP="004F64C6">
      <w:pPr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</w:pPr>
      <w:r w:rsidRPr="003A310B"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  <w:t>Background</w:t>
      </w:r>
    </w:p>
    <w:p w:rsidR="0075649E" w:rsidRDefault="0080649D" w:rsidP="004F64C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EPA </w:t>
      </w:r>
      <w:r w:rsidR="00885A6E">
        <w:rPr>
          <w:rFonts w:ascii="Times New Roman" w:hAnsi="Times New Roman" w:cs="Times New Roman"/>
        </w:rPr>
        <w:t xml:space="preserve">and the states </w:t>
      </w:r>
      <w:r>
        <w:rPr>
          <w:rFonts w:ascii="Times New Roman" w:hAnsi="Times New Roman" w:cs="Times New Roman"/>
        </w:rPr>
        <w:t xml:space="preserve">recently completed a retrospective review of the Clean Water Act </w:t>
      </w:r>
      <w:r w:rsidR="00570F46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ection 305(b) and 303(d) reporting process.  </w:t>
      </w:r>
      <w:r w:rsidR="00315EB3">
        <w:rPr>
          <w:rFonts w:ascii="Times New Roman" w:hAnsi="Times New Roman" w:cs="Times New Roman"/>
        </w:rPr>
        <w:t>The workgroup</w:t>
      </w:r>
      <w:r w:rsidR="00885A6E">
        <w:rPr>
          <w:rFonts w:ascii="Times New Roman" w:hAnsi="Times New Roman" w:cs="Times New Roman"/>
        </w:rPr>
        <w:t xml:space="preserve"> found </w:t>
      </w:r>
      <w:r w:rsidR="00943369">
        <w:rPr>
          <w:rFonts w:ascii="Times New Roman" w:hAnsi="Times New Roman" w:cs="Times New Roman"/>
        </w:rPr>
        <w:t xml:space="preserve">that </w:t>
      </w:r>
      <w:r w:rsidR="00315EB3">
        <w:rPr>
          <w:rFonts w:ascii="Times New Roman" w:hAnsi="Times New Roman" w:cs="Times New Roman"/>
        </w:rPr>
        <w:t xml:space="preserve">the elements of this process that demand the greatest investment of state resources include: compiling and </w:t>
      </w:r>
      <w:r>
        <w:rPr>
          <w:rFonts w:ascii="Times New Roman" w:hAnsi="Times New Roman" w:cs="Times New Roman"/>
        </w:rPr>
        <w:t>review</w:t>
      </w:r>
      <w:r w:rsidR="00315EB3">
        <w:rPr>
          <w:rFonts w:ascii="Times New Roman" w:hAnsi="Times New Roman" w:cs="Times New Roman"/>
        </w:rPr>
        <w:t xml:space="preserve">ing </w:t>
      </w:r>
      <w:r>
        <w:rPr>
          <w:rFonts w:ascii="Times New Roman" w:hAnsi="Times New Roman" w:cs="Times New Roman"/>
        </w:rPr>
        <w:t xml:space="preserve">available </w:t>
      </w:r>
      <w:r w:rsidR="00570F46">
        <w:rPr>
          <w:rFonts w:ascii="Times New Roman" w:hAnsi="Times New Roman" w:cs="Times New Roman"/>
        </w:rPr>
        <w:t xml:space="preserve">water monitoring </w:t>
      </w:r>
      <w:r>
        <w:rPr>
          <w:rFonts w:ascii="Times New Roman" w:hAnsi="Times New Roman" w:cs="Times New Roman"/>
        </w:rPr>
        <w:t>data,</w:t>
      </w:r>
      <w:r w:rsidR="00315EB3">
        <w:rPr>
          <w:rFonts w:ascii="Times New Roman" w:hAnsi="Times New Roman" w:cs="Times New Roman"/>
        </w:rPr>
        <w:t xml:space="preserve"> analysis and interpretation of that data to</w:t>
      </w:r>
      <w:r w:rsidR="00570F4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</w:t>
      </w:r>
      <w:r w:rsidR="00315EB3">
        <w:rPr>
          <w:rFonts w:ascii="Times New Roman" w:hAnsi="Times New Roman" w:cs="Times New Roman"/>
        </w:rPr>
        <w:t>ake</w:t>
      </w:r>
      <w:r w:rsidRPr="0080649D">
        <w:rPr>
          <w:rFonts w:ascii="Times New Roman" w:hAnsi="Times New Roman" w:cs="Times New Roman"/>
        </w:rPr>
        <w:t xml:space="preserve"> assessment determination</w:t>
      </w:r>
      <w:r>
        <w:rPr>
          <w:rFonts w:ascii="Times New Roman" w:hAnsi="Times New Roman" w:cs="Times New Roman"/>
        </w:rPr>
        <w:t>s,</w:t>
      </w:r>
      <w:r w:rsidR="00315EB3">
        <w:rPr>
          <w:rFonts w:ascii="Times New Roman" w:hAnsi="Times New Roman" w:cs="Times New Roman"/>
        </w:rPr>
        <w:t xml:space="preserve"> and</w:t>
      </w:r>
      <w:r w:rsidR="00570F46">
        <w:rPr>
          <w:rFonts w:ascii="Times New Roman" w:hAnsi="Times New Roman" w:cs="Times New Roman"/>
        </w:rPr>
        <w:t xml:space="preserve"> preparing and submitting </w:t>
      </w:r>
      <w:r w:rsidR="00943369">
        <w:rPr>
          <w:rFonts w:ascii="Times New Roman" w:hAnsi="Times New Roman" w:cs="Times New Roman"/>
        </w:rPr>
        <w:t xml:space="preserve">electronic </w:t>
      </w:r>
      <w:r>
        <w:rPr>
          <w:rFonts w:ascii="Times New Roman" w:hAnsi="Times New Roman" w:cs="Times New Roman"/>
        </w:rPr>
        <w:t>Integrated Reportin</w:t>
      </w:r>
      <w:r w:rsidR="00943369">
        <w:rPr>
          <w:rFonts w:ascii="Times New Roman" w:hAnsi="Times New Roman" w:cs="Times New Roman"/>
        </w:rPr>
        <w:t xml:space="preserve">g (IR) </w:t>
      </w:r>
      <w:r w:rsidRPr="0080649D">
        <w:rPr>
          <w:rFonts w:ascii="Times New Roman" w:hAnsi="Times New Roman" w:cs="Times New Roman"/>
        </w:rPr>
        <w:t>data to EPA</w:t>
      </w:r>
      <w:r>
        <w:rPr>
          <w:rFonts w:ascii="Times New Roman" w:hAnsi="Times New Roman" w:cs="Times New Roman"/>
        </w:rPr>
        <w:t xml:space="preserve">.  </w:t>
      </w:r>
    </w:p>
    <w:p w:rsidR="004F64C6" w:rsidRDefault="0080649D" w:rsidP="004F64C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review recommended a number of improvements to the process, including:</w:t>
      </w:r>
    </w:p>
    <w:p w:rsidR="0080649D" w:rsidRDefault="009F7969" w:rsidP="0080649D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Identifying</w:t>
      </w:r>
      <w:r w:rsidR="0080649D" w:rsidRPr="0080649D">
        <w:rPr>
          <w:rFonts w:ascii="Times New Roman" w:hAnsi="Times New Roman" w:cs="Times New Roman"/>
        </w:rPr>
        <w:t xml:space="preserve"> tools to </w:t>
      </w:r>
      <w:r w:rsidR="00F26250">
        <w:rPr>
          <w:rFonts w:ascii="Times New Roman" w:hAnsi="Times New Roman" w:cs="Times New Roman"/>
        </w:rPr>
        <w:t xml:space="preserve">automate </w:t>
      </w:r>
      <w:r w:rsidR="0080649D" w:rsidRPr="0080649D">
        <w:rPr>
          <w:rFonts w:ascii="Times New Roman" w:hAnsi="Times New Roman" w:cs="Times New Roman"/>
        </w:rPr>
        <w:t>proces</w:t>
      </w:r>
      <w:r w:rsidR="0080649D">
        <w:rPr>
          <w:rFonts w:ascii="Times New Roman" w:hAnsi="Times New Roman" w:cs="Times New Roman"/>
        </w:rPr>
        <w:t>sing</w:t>
      </w:r>
      <w:r w:rsidR="0080649D" w:rsidRPr="0080649D">
        <w:rPr>
          <w:rFonts w:ascii="Times New Roman" w:hAnsi="Times New Roman" w:cs="Times New Roman"/>
        </w:rPr>
        <w:t xml:space="preserve"> </w:t>
      </w:r>
      <w:r w:rsidR="0080649D">
        <w:rPr>
          <w:rFonts w:ascii="Times New Roman" w:hAnsi="Times New Roman" w:cs="Times New Roman"/>
        </w:rPr>
        <w:t>and interpreting</w:t>
      </w:r>
      <w:r w:rsidR="0080649D" w:rsidRPr="0080649D">
        <w:rPr>
          <w:rFonts w:ascii="Times New Roman" w:hAnsi="Times New Roman" w:cs="Times New Roman"/>
        </w:rPr>
        <w:t xml:space="preserve"> ambient water quality data</w:t>
      </w:r>
      <w:r w:rsidR="003A310B">
        <w:rPr>
          <w:rFonts w:ascii="Times New Roman" w:hAnsi="Times New Roman" w:cs="Times New Roman"/>
        </w:rPr>
        <w:t>;</w:t>
      </w:r>
    </w:p>
    <w:p w:rsidR="004E0753" w:rsidRPr="0080649D" w:rsidRDefault="004271D9" w:rsidP="0080649D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80649D">
        <w:rPr>
          <w:rFonts w:ascii="Times New Roman" w:hAnsi="Times New Roman" w:cs="Times New Roman"/>
        </w:rPr>
        <w:t>Transition</w:t>
      </w:r>
      <w:r w:rsidR="00013EA5">
        <w:rPr>
          <w:rFonts w:ascii="Times New Roman" w:hAnsi="Times New Roman" w:cs="Times New Roman"/>
        </w:rPr>
        <w:t>ing</w:t>
      </w:r>
      <w:r w:rsidRPr="0080649D">
        <w:rPr>
          <w:rFonts w:ascii="Times New Roman" w:hAnsi="Times New Roman" w:cs="Times New Roman"/>
        </w:rPr>
        <w:t xml:space="preserve"> to </w:t>
      </w:r>
      <w:r w:rsidR="00417973">
        <w:rPr>
          <w:rFonts w:ascii="Times New Roman" w:hAnsi="Times New Roman" w:cs="Times New Roman"/>
        </w:rPr>
        <w:t xml:space="preserve">complete </w:t>
      </w:r>
      <w:r w:rsidRPr="0080649D">
        <w:rPr>
          <w:rFonts w:ascii="Times New Roman" w:hAnsi="Times New Roman" w:cs="Times New Roman"/>
        </w:rPr>
        <w:t xml:space="preserve">electronic </w:t>
      </w:r>
      <w:r w:rsidR="001014B0">
        <w:rPr>
          <w:rFonts w:ascii="Times New Roman" w:hAnsi="Times New Roman" w:cs="Times New Roman"/>
        </w:rPr>
        <w:t xml:space="preserve">305(b) and 303(d) </w:t>
      </w:r>
      <w:r w:rsidR="00F26250">
        <w:rPr>
          <w:rFonts w:ascii="Times New Roman" w:hAnsi="Times New Roman" w:cs="Times New Roman"/>
        </w:rPr>
        <w:t>reporting</w:t>
      </w:r>
      <w:r w:rsidR="009F7969">
        <w:rPr>
          <w:rFonts w:ascii="Times New Roman" w:hAnsi="Times New Roman" w:cs="Times New Roman"/>
        </w:rPr>
        <w:t xml:space="preserve"> and</w:t>
      </w:r>
      <w:r w:rsidRPr="0080649D">
        <w:rPr>
          <w:rFonts w:ascii="Times New Roman" w:hAnsi="Times New Roman" w:cs="Times New Roman"/>
        </w:rPr>
        <w:t xml:space="preserve"> electronic </w:t>
      </w:r>
      <w:r w:rsidR="00417973">
        <w:rPr>
          <w:rFonts w:ascii="Times New Roman" w:hAnsi="Times New Roman" w:cs="Times New Roman"/>
        </w:rPr>
        <w:t>signatures for 303(d) approval</w:t>
      </w:r>
      <w:r w:rsidR="009F7969">
        <w:rPr>
          <w:rFonts w:ascii="Times New Roman" w:hAnsi="Times New Roman" w:cs="Times New Roman"/>
        </w:rPr>
        <w:t>s</w:t>
      </w:r>
      <w:r w:rsidR="003A310B">
        <w:rPr>
          <w:rFonts w:ascii="Times New Roman" w:hAnsi="Times New Roman" w:cs="Times New Roman"/>
        </w:rPr>
        <w:t>; and</w:t>
      </w:r>
    </w:p>
    <w:p w:rsidR="00FE5640" w:rsidRDefault="00013EA5" w:rsidP="00FE5640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Aligning</w:t>
      </w:r>
      <w:r w:rsidR="00F26250">
        <w:rPr>
          <w:rFonts w:ascii="Times New Roman" w:hAnsi="Times New Roman" w:cs="Times New Roman"/>
        </w:rPr>
        <w:t xml:space="preserve"> </w:t>
      </w:r>
      <w:r w:rsidR="0080649D">
        <w:rPr>
          <w:rFonts w:ascii="Times New Roman" w:hAnsi="Times New Roman" w:cs="Times New Roman"/>
        </w:rPr>
        <w:t>data system</w:t>
      </w:r>
      <w:r w:rsidR="00F26250">
        <w:rPr>
          <w:rFonts w:ascii="Times New Roman" w:hAnsi="Times New Roman" w:cs="Times New Roman"/>
        </w:rPr>
        <w:t>s</w:t>
      </w:r>
      <w:r w:rsidR="0080649D">
        <w:rPr>
          <w:rFonts w:ascii="Times New Roman" w:hAnsi="Times New Roman" w:cs="Times New Roman"/>
        </w:rPr>
        <w:t xml:space="preserve"> with programmatic processes</w:t>
      </w:r>
      <w:r w:rsidR="009F7969">
        <w:rPr>
          <w:rFonts w:ascii="Times New Roman" w:hAnsi="Times New Roman" w:cs="Times New Roman"/>
        </w:rPr>
        <w:t xml:space="preserve"> to </w:t>
      </w:r>
      <w:r w:rsidR="00315EB3">
        <w:rPr>
          <w:rFonts w:ascii="Times New Roman" w:hAnsi="Times New Roman" w:cs="Times New Roman"/>
        </w:rPr>
        <w:t xml:space="preserve">track water </w:t>
      </w:r>
      <w:r w:rsidR="00FB04A3">
        <w:rPr>
          <w:rFonts w:ascii="Times New Roman" w:hAnsi="Times New Roman" w:cs="Times New Roman"/>
        </w:rPr>
        <w:t>quality improvement</w:t>
      </w:r>
      <w:r w:rsidR="00417973">
        <w:rPr>
          <w:rFonts w:ascii="Times New Roman" w:hAnsi="Times New Roman" w:cs="Times New Roman"/>
        </w:rPr>
        <w:t>.</w:t>
      </w:r>
    </w:p>
    <w:p w:rsidR="00FE5640" w:rsidRDefault="00FE5640" w:rsidP="00FE5640">
      <w:pPr>
        <w:pStyle w:val="ListParagraph"/>
        <w:spacing w:after="0"/>
        <w:ind w:left="0"/>
        <w:rPr>
          <w:rFonts w:ascii="Times New Roman" w:hAnsi="Times New Roman" w:cs="Times New Roman"/>
        </w:rPr>
      </w:pPr>
    </w:p>
    <w:p w:rsidR="00885A6E" w:rsidRPr="00885A6E" w:rsidRDefault="00FE5640" w:rsidP="00885A6E">
      <w:pPr>
        <w:pStyle w:val="ListParagraph"/>
        <w:spacing w:after="0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These findings have led EPA to </w:t>
      </w:r>
      <w:r w:rsidR="00943369">
        <w:rPr>
          <w:rFonts w:ascii="Times New Roman" w:hAnsi="Times New Roman" w:cs="Times New Roman"/>
        </w:rPr>
        <w:t xml:space="preserve">begin </w:t>
      </w:r>
      <w:r>
        <w:rPr>
          <w:rFonts w:ascii="Times New Roman" w:hAnsi="Times New Roman" w:cs="Times New Roman"/>
        </w:rPr>
        <w:t>implement</w:t>
      </w:r>
      <w:r w:rsidR="00943369">
        <w:rPr>
          <w:rFonts w:ascii="Times New Roman" w:hAnsi="Times New Roman" w:cs="Times New Roman"/>
        </w:rPr>
        <w:t>ing</w:t>
      </w:r>
      <w:r>
        <w:rPr>
          <w:rFonts w:ascii="Times New Roman" w:hAnsi="Times New Roman" w:cs="Times New Roman"/>
        </w:rPr>
        <w:t xml:space="preserve"> the Water Quality Framework.</w:t>
      </w:r>
    </w:p>
    <w:p w:rsidR="00F26250" w:rsidRDefault="00F26250" w:rsidP="00FE5640">
      <w:pPr>
        <w:spacing w:line="23" w:lineRule="atLeast"/>
        <w:rPr>
          <w:rFonts w:cs="Times New Roman"/>
          <w:b/>
          <w:sz w:val="28"/>
          <w:szCs w:val="28"/>
        </w:rPr>
      </w:pPr>
    </w:p>
    <w:p w:rsidR="00F26250" w:rsidRDefault="00F26250" w:rsidP="00FE5640">
      <w:pPr>
        <w:spacing w:line="23" w:lineRule="atLeast"/>
        <w:rPr>
          <w:rFonts w:cs="Times New Roman"/>
          <w:b/>
          <w:sz w:val="28"/>
          <w:szCs w:val="28"/>
        </w:rPr>
      </w:pPr>
    </w:p>
    <w:p w:rsidR="004F64C6" w:rsidRPr="003A310B" w:rsidRDefault="00ED0F8F" w:rsidP="00F26250">
      <w:pPr>
        <w:spacing w:line="20" w:lineRule="atLeast"/>
        <w:rPr>
          <w:rFonts w:cs="Times New Roman"/>
          <w:b/>
          <w:color w:val="17365D" w:themeColor="text2" w:themeShade="BF"/>
          <w:sz w:val="28"/>
          <w:szCs w:val="28"/>
        </w:rPr>
      </w:pPr>
      <w:r w:rsidRPr="003A310B">
        <w:rPr>
          <w:rFonts w:cs="Times New Roman"/>
          <w:b/>
          <w:color w:val="17365D" w:themeColor="text2" w:themeShade="BF"/>
          <w:sz w:val="28"/>
          <w:szCs w:val="28"/>
        </w:rPr>
        <w:t>B</w:t>
      </w:r>
      <w:r w:rsidR="004F64C6" w:rsidRPr="003A310B">
        <w:rPr>
          <w:rFonts w:cs="Times New Roman"/>
          <w:b/>
          <w:color w:val="17365D" w:themeColor="text2" w:themeShade="BF"/>
          <w:sz w:val="28"/>
          <w:szCs w:val="28"/>
        </w:rPr>
        <w:t>enefits of this approach</w:t>
      </w:r>
    </w:p>
    <w:p w:rsidR="004E0753" w:rsidRPr="00FE5640" w:rsidRDefault="00943369" w:rsidP="00FE5640">
      <w:pPr>
        <w:spacing w:line="23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Integrating data systems </w:t>
      </w:r>
      <w:r w:rsidR="00FE5640" w:rsidRPr="00943369">
        <w:rPr>
          <w:rFonts w:ascii="Times New Roman" w:hAnsi="Times New Roman" w:cs="Times New Roman"/>
        </w:rPr>
        <w:t xml:space="preserve">through the implementation of the Water Quality Framework </w:t>
      </w:r>
      <w:r w:rsidR="004271D9" w:rsidRPr="00943369">
        <w:rPr>
          <w:rFonts w:ascii="Times New Roman" w:hAnsi="Times New Roman" w:cs="Times New Roman"/>
        </w:rPr>
        <w:t>provide</w:t>
      </w:r>
      <w:r w:rsidR="00FE5640" w:rsidRPr="00943369">
        <w:rPr>
          <w:rFonts w:ascii="Times New Roman" w:hAnsi="Times New Roman" w:cs="Times New Roman"/>
        </w:rPr>
        <w:t>s</w:t>
      </w:r>
      <w:r w:rsidR="004271D9" w:rsidRPr="00943369">
        <w:rPr>
          <w:rFonts w:ascii="Times New Roman" w:hAnsi="Times New Roman" w:cs="Times New Roman"/>
        </w:rPr>
        <w:t xml:space="preserve"> </w:t>
      </w:r>
      <w:r w:rsidR="00ED0F8F" w:rsidRPr="00943369">
        <w:rPr>
          <w:rFonts w:ascii="Times New Roman" w:hAnsi="Times New Roman" w:cs="Times New Roman"/>
        </w:rPr>
        <w:t xml:space="preserve">many </w:t>
      </w:r>
      <w:r w:rsidR="004271D9" w:rsidRPr="00943369">
        <w:rPr>
          <w:rFonts w:ascii="Times New Roman" w:hAnsi="Times New Roman" w:cs="Times New Roman"/>
        </w:rPr>
        <w:t>key benefits</w:t>
      </w:r>
      <w:r w:rsidR="00ED0F8F" w:rsidRPr="00943369">
        <w:rPr>
          <w:rFonts w:ascii="Times New Roman" w:hAnsi="Times New Roman" w:cs="Times New Roman"/>
        </w:rPr>
        <w:t>:</w:t>
      </w:r>
    </w:p>
    <w:p w:rsidR="004E0753" w:rsidRPr="00013EA5" w:rsidRDefault="004271D9" w:rsidP="00013EA5">
      <w:pPr>
        <w:numPr>
          <w:ilvl w:val="1"/>
          <w:numId w:val="6"/>
        </w:numPr>
        <w:tabs>
          <w:tab w:val="clear" w:pos="1440"/>
          <w:tab w:val="num" w:pos="180"/>
        </w:tabs>
        <w:ind w:left="180" w:hanging="90"/>
        <w:rPr>
          <w:rFonts w:ascii="Times New Roman" w:hAnsi="Times New Roman" w:cs="Times New Roman"/>
        </w:rPr>
      </w:pPr>
      <w:r w:rsidRPr="00013EA5">
        <w:rPr>
          <w:rFonts w:ascii="Times New Roman" w:hAnsi="Times New Roman" w:cs="Times New Roman"/>
        </w:rPr>
        <w:t>Reduc</w:t>
      </w:r>
      <w:r w:rsidR="00417973">
        <w:rPr>
          <w:rFonts w:ascii="Times New Roman" w:hAnsi="Times New Roman" w:cs="Times New Roman"/>
        </w:rPr>
        <w:t>e</w:t>
      </w:r>
      <w:r w:rsidR="00FE5640">
        <w:rPr>
          <w:rFonts w:ascii="Times New Roman" w:hAnsi="Times New Roman" w:cs="Times New Roman"/>
        </w:rPr>
        <w:t>s</w:t>
      </w:r>
      <w:r w:rsidRPr="00013EA5">
        <w:rPr>
          <w:rFonts w:ascii="Times New Roman" w:hAnsi="Times New Roman" w:cs="Times New Roman"/>
        </w:rPr>
        <w:t xml:space="preserve"> state burden by streamlining the </w:t>
      </w:r>
      <w:r w:rsidR="00FE5640">
        <w:rPr>
          <w:rFonts w:ascii="Times New Roman" w:hAnsi="Times New Roman" w:cs="Times New Roman"/>
        </w:rPr>
        <w:t>assessment</w:t>
      </w:r>
      <w:r w:rsidR="004C11EB">
        <w:rPr>
          <w:rFonts w:ascii="Times New Roman" w:hAnsi="Times New Roman" w:cs="Times New Roman"/>
        </w:rPr>
        <w:t xml:space="preserve"> and </w:t>
      </w:r>
      <w:r w:rsidR="00FE5640">
        <w:rPr>
          <w:rFonts w:ascii="Times New Roman" w:hAnsi="Times New Roman" w:cs="Times New Roman"/>
        </w:rPr>
        <w:t xml:space="preserve">reporting </w:t>
      </w:r>
      <w:r w:rsidRPr="00013EA5">
        <w:rPr>
          <w:rFonts w:ascii="Times New Roman" w:hAnsi="Times New Roman" w:cs="Times New Roman"/>
        </w:rPr>
        <w:t>process</w:t>
      </w:r>
      <w:r w:rsidR="00FE5640">
        <w:rPr>
          <w:rFonts w:ascii="Times New Roman" w:hAnsi="Times New Roman" w:cs="Times New Roman"/>
        </w:rPr>
        <w:t>;</w:t>
      </w:r>
    </w:p>
    <w:p w:rsidR="004E0753" w:rsidRPr="00013EA5" w:rsidRDefault="004271D9" w:rsidP="00013EA5">
      <w:pPr>
        <w:numPr>
          <w:ilvl w:val="1"/>
          <w:numId w:val="6"/>
        </w:numPr>
        <w:tabs>
          <w:tab w:val="clear" w:pos="1440"/>
          <w:tab w:val="num" w:pos="180"/>
        </w:tabs>
        <w:ind w:left="180" w:hanging="90"/>
        <w:rPr>
          <w:rFonts w:ascii="Times New Roman" w:hAnsi="Times New Roman" w:cs="Times New Roman"/>
        </w:rPr>
      </w:pPr>
      <w:r w:rsidRPr="00013EA5">
        <w:rPr>
          <w:rFonts w:ascii="Times New Roman" w:hAnsi="Times New Roman" w:cs="Times New Roman"/>
        </w:rPr>
        <w:t>Provide</w:t>
      </w:r>
      <w:r w:rsidR="00FE5640">
        <w:rPr>
          <w:rFonts w:ascii="Times New Roman" w:hAnsi="Times New Roman" w:cs="Times New Roman"/>
        </w:rPr>
        <w:t>s</w:t>
      </w:r>
      <w:r w:rsidRPr="00013EA5">
        <w:rPr>
          <w:rFonts w:ascii="Times New Roman" w:hAnsi="Times New Roman" w:cs="Times New Roman"/>
        </w:rPr>
        <w:t xml:space="preserve"> the means to tell the ‘whole’ story from monitoring to assessment to restoration</w:t>
      </w:r>
      <w:r w:rsidR="00FE5640">
        <w:rPr>
          <w:rFonts w:ascii="Times New Roman" w:hAnsi="Times New Roman" w:cs="Times New Roman"/>
        </w:rPr>
        <w:t>;</w:t>
      </w:r>
    </w:p>
    <w:p w:rsidR="004C11EB" w:rsidRDefault="004271D9" w:rsidP="00013EA5">
      <w:pPr>
        <w:numPr>
          <w:ilvl w:val="1"/>
          <w:numId w:val="6"/>
        </w:numPr>
        <w:tabs>
          <w:tab w:val="clear" w:pos="1440"/>
          <w:tab w:val="num" w:pos="180"/>
        </w:tabs>
        <w:ind w:left="180" w:hanging="90"/>
        <w:rPr>
          <w:rFonts w:ascii="Times New Roman" w:hAnsi="Times New Roman" w:cs="Times New Roman"/>
        </w:rPr>
      </w:pPr>
      <w:r w:rsidRPr="00013EA5">
        <w:rPr>
          <w:rFonts w:ascii="Times New Roman" w:hAnsi="Times New Roman" w:cs="Times New Roman"/>
        </w:rPr>
        <w:t>Provide</w:t>
      </w:r>
      <w:r w:rsidR="00FE5640">
        <w:rPr>
          <w:rFonts w:ascii="Times New Roman" w:hAnsi="Times New Roman" w:cs="Times New Roman"/>
        </w:rPr>
        <w:t>s</w:t>
      </w:r>
      <w:r w:rsidRPr="00013EA5">
        <w:rPr>
          <w:rFonts w:ascii="Times New Roman" w:hAnsi="Times New Roman" w:cs="Times New Roman"/>
        </w:rPr>
        <w:t xml:space="preserve"> better measurement </w:t>
      </w:r>
      <w:r w:rsidR="004C11EB">
        <w:rPr>
          <w:rFonts w:ascii="Times New Roman" w:hAnsi="Times New Roman" w:cs="Times New Roman"/>
        </w:rPr>
        <w:t xml:space="preserve">and reporting </w:t>
      </w:r>
      <w:r w:rsidRPr="00013EA5">
        <w:rPr>
          <w:rFonts w:ascii="Times New Roman" w:hAnsi="Times New Roman" w:cs="Times New Roman"/>
        </w:rPr>
        <w:t xml:space="preserve">of </w:t>
      </w:r>
      <w:r w:rsidR="00FB04A3">
        <w:rPr>
          <w:rFonts w:ascii="Times New Roman" w:hAnsi="Times New Roman" w:cs="Times New Roman"/>
        </w:rPr>
        <w:t>water quality improvement</w:t>
      </w:r>
      <w:r w:rsidR="004C11EB">
        <w:rPr>
          <w:rFonts w:ascii="Times New Roman" w:hAnsi="Times New Roman" w:cs="Times New Roman"/>
        </w:rPr>
        <w:t>;</w:t>
      </w:r>
      <w:r w:rsidRPr="00013EA5">
        <w:rPr>
          <w:rFonts w:ascii="Times New Roman" w:hAnsi="Times New Roman" w:cs="Times New Roman"/>
        </w:rPr>
        <w:t xml:space="preserve"> </w:t>
      </w:r>
    </w:p>
    <w:p w:rsidR="004E0753" w:rsidRPr="004C11EB" w:rsidRDefault="004271D9" w:rsidP="00013EA5">
      <w:pPr>
        <w:numPr>
          <w:ilvl w:val="1"/>
          <w:numId w:val="6"/>
        </w:numPr>
        <w:tabs>
          <w:tab w:val="clear" w:pos="1440"/>
          <w:tab w:val="num" w:pos="180"/>
        </w:tabs>
        <w:ind w:left="180" w:hanging="90"/>
        <w:rPr>
          <w:rFonts w:ascii="Times New Roman" w:hAnsi="Times New Roman" w:cs="Times New Roman"/>
        </w:rPr>
      </w:pPr>
      <w:r w:rsidRPr="004C11EB">
        <w:rPr>
          <w:rFonts w:ascii="Times New Roman" w:hAnsi="Times New Roman" w:cs="Times New Roman"/>
        </w:rPr>
        <w:t>Provide</w:t>
      </w:r>
      <w:r w:rsidR="004C11EB" w:rsidRPr="004C11EB">
        <w:rPr>
          <w:rFonts w:ascii="Times New Roman" w:hAnsi="Times New Roman" w:cs="Times New Roman"/>
        </w:rPr>
        <w:t>s</w:t>
      </w:r>
      <w:r w:rsidRPr="004C11EB">
        <w:rPr>
          <w:rFonts w:ascii="Times New Roman" w:hAnsi="Times New Roman" w:cs="Times New Roman"/>
        </w:rPr>
        <w:t xml:space="preserve"> better transparency </w:t>
      </w:r>
      <w:r w:rsidR="00FB04A3">
        <w:rPr>
          <w:rFonts w:ascii="Times New Roman" w:hAnsi="Times New Roman" w:cs="Times New Roman"/>
        </w:rPr>
        <w:t>on water quality decisions making</w:t>
      </w:r>
      <w:r w:rsidR="004C11EB">
        <w:rPr>
          <w:rFonts w:ascii="Times New Roman" w:hAnsi="Times New Roman" w:cs="Times New Roman"/>
        </w:rPr>
        <w:t>;</w:t>
      </w:r>
    </w:p>
    <w:p w:rsidR="004E0753" w:rsidRPr="00013EA5" w:rsidRDefault="004271D9" w:rsidP="00013EA5">
      <w:pPr>
        <w:numPr>
          <w:ilvl w:val="1"/>
          <w:numId w:val="6"/>
        </w:numPr>
        <w:tabs>
          <w:tab w:val="clear" w:pos="1440"/>
          <w:tab w:val="num" w:pos="180"/>
        </w:tabs>
        <w:ind w:left="180" w:hanging="90"/>
        <w:rPr>
          <w:rFonts w:ascii="Times New Roman" w:hAnsi="Times New Roman" w:cs="Times New Roman"/>
        </w:rPr>
      </w:pPr>
      <w:r w:rsidRPr="00013EA5">
        <w:rPr>
          <w:rFonts w:ascii="Times New Roman" w:hAnsi="Times New Roman" w:cs="Times New Roman"/>
        </w:rPr>
        <w:t>Allow</w:t>
      </w:r>
      <w:r w:rsidR="004C11EB">
        <w:rPr>
          <w:rFonts w:ascii="Times New Roman" w:hAnsi="Times New Roman" w:cs="Times New Roman"/>
        </w:rPr>
        <w:t>s</w:t>
      </w:r>
      <w:r w:rsidRPr="00013EA5">
        <w:rPr>
          <w:rFonts w:ascii="Times New Roman" w:hAnsi="Times New Roman" w:cs="Times New Roman"/>
        </w:rPr>
        <w:t xml:space="preserve"> for tools that can be used to identify relevant monitoring data for water quality assessments</w:t>
      </w:r>
      <w:r w:rsidR="004C11EB">
        <w:rPr>
          <w:rFonts w:ascii="Times New Roman" w:hAnsi="Times New Roman" w:cs="Times New Roman"/>
        </w:rPr>
        <w:t>;</w:t>
      </w:r>
      <w:r w:rsidR="003A310B">
        <w:rPr>
          <w:rFonts w:ascii="Times New Roman" w:hAnsi="Times New Roman" w:cs="Times New Roman"/>
        </w:rPr>
        <w:t xml:space="preserve"> and</w:t>
      </w:r>
    </w:p>
    <w:p w:rsidR="00013EA5" w:rsidRDefault="004271D9" w:rsidP="00013EA5">
      <w:pPr>
        <w:numPr>
          <w:ilvl w:val="1"/>
          <w:numId w:val="6"/>
        </w:numPr>
        <w:tabs>
          <w:tab w:val="clear" w:pos="1440"/>
          <w:tab w:val="num" w:pos="180"/>
        </w:tabs>
        <w:ind w:left="180" w:hanging="90"/>
        <w:rPr>
          <w:rFonts w:ascii="Times New Roman" w:hAnsi="Times New Roman" w:cs="Times New Roman"/>
        </w:rPr>
      </w:pPr>
      <w:r w:rsidRPr="00013EA5">
        <w:rPr>
          <w:rFonts w:ascii="Times New Roman" w:hAnsi="Times New Roman" w:cs="Times New Roman"/>
        </w:rPr>
        <w:t>Support</w:t>
      </w:r>
      <w:r w:rsidR="004C11EB">
        <w:rPr>
          <w:rFonts w:ascii="Times New Roman" w:hAnsi="Times New Roman" w:cs="Times New Roman"/>
        </w:rPr>
        <w:t>s</w:t>
      </w:r>
      <w:r w:rsidRPr="00013EA5">
        <w:rPr>
          <w:rFonts w:ascii="Times New Roman" w:hAnsi="Times New Roman" w:cs="Times New Roman"/>
        </w:rPr>
        <w:t xml:space="preserve"> state development of tools </w:t>
      </w:r>
      <w:r w:rsidR="00F26250">
        <w:rPr>
          <w:rFonts w:ascii="Times New Roman" w:hAnsi="Times New Roman" w:cs="Times New Roman"/>
        </w:rPr>
        <w:t xml:space="preserve">to automate </w:t>
      </w:r>
      <w:r w:rsidR="003334A6">
        <w:rPr>
          <w:rFonts w:ascii="Times New Roman" w:hAnsi="Times New Roman" w:cs="Times New Roman"/>
        </w:rPr>
        <w:t xml:space="preserve">screening </w:t>
      </w:r>
      <w:r w:rsidRPr="00013EA5">
        <w:rPr>
          <w:rFonts w:ascii="Times New Roman" w:hAnsi="Times New Roman" w:cs="Times New Roman"/>
        </w:rPr>
        <w:t>monitoring data against water quality standards</w:t>
      </w:r>
      <w:r w:rsidR="00F26250">
        <w:rPr>
          <w:rFonts w:ascii="Times New Roman" w:hAnsi="Times New Roman" w:cs="Times New Roman"/>
        </w:rPr>
        <w:t>.</w:t>
      </w:r>
    </w:p>
    <w:p w:rsidR="00FB04A3" w:rsidRDefault="00FB04A3" w:rsidP="00013EA5">
      <w:pPr>
        <w:numPr>
          <w:ilvl w:val="1"/>
          <w:numId w:val="6"/>
        </w:numPr>
        <w:tabs>
          <w:tab w:val="clear" w:pos="1440"/>
          <w:tab w:val="num" w:pos="180"/>
        </w:tabs>
        <w:ind w:left="180" w:hanging="9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Connects data, decision and actions geospatially.</w:t>
      </w:r>
    </w:p>
    <w:p w:rsidR="004F64C6" w:rsidRPr="003A310B" w:rsidRDefault="00ED0F8F" w:rsidP="004F64C6">
      <w:pPr>
        <w:rPr>
          <w:b/>
          <w:color w:val="17365D" w:themeColor="text2" w:themeShade="BF"/>
          <w:sz w:val="28"/>
          <w:szCs w:val="28"/>
        </w:rPr>
      </w:pPr>
      <w:r w:rsidRPr="003A310B">
        <w:rPr>
          <w:b/>
          <w:color w:val="17365D" w:themeColor="text2" w:themeShade="BF"/>
          <w:sz w:val="28"/>
          <w:szCs w:val="28"/>
        </w:rPr>
        <w:t>I</w:t>
      </w:r>
      <w:r w:rsidR="004C11EB" w:rsidRPr="003A310B">
        <w:rPr>
          <w:b/>
          <w:color w:val="17365D" w:themeColor="text2" w:themeShade="BF"/>
          <w:sz w:val="28"/>
          <w:szCs w:val="28"/>
        </w:rPr>
        <w:t>mplement</w:t>
      </w:r>
      <w:r w:rsidRPr="003A310B">
        <w:rPr>
          <w:b/>
          <w:color w:val="17365D" w:themeColor="text2" w:themeShade="BF"/>
          <w:sz w:val="28"/>
          <w:szCs w:val="28"/>
        </w:rPr>
        <w:t>ing</w:t>
      </w:r>
      <w:r w:rsidR="004C11EB" w:rsidRPr="003A310B">
        <w:rPr>
          <w:b/>
          <w:color w:val="17365D" w:themeColor="text2" w:themeShade="BF"/>
          <w:sz w:val="28"/>
          <w:szCs w:val="28"/>
        </w:rPr>
        <w:t xml:space="preserve"> the Framework</w:t>
      </w:r>
    </w:p>
    <w:p w:rsidR="00943369" w:rsidRDefault="00C24B50" w:rsidP="001014B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EPA’s first step in implementing the Framework is to evaluate the </w:t>
      </w:r>
      <w:r w:rsidRPr="00943369">
        <w:rPr>
          <w:rFonts w:ascii="Times New Roman" w:hAnsi="Times New Roman" w:cs="Times New Roman"/>
          <w:b/>
        </w:rPr>
        <w:t>A</w:t>
      </w:r>
      <w:r>
        <w:rPr>
          <w:rFonts w:ascii="Times New Roman" w:hAnsi="Times New Roman" w:cs="Times New Roman"/>
        </w:rPr>
        <w:t xml:space="preserve">ssessment </w:t>
      </w:r>
      <w:r w:rsidRPr="00943369">
        <w:rPr>
          <w:rFonts w:ascii="Times New Roman" w:hAnsi="Times New Roman" w:cs="Times New Roman"/>
          <w:b/>
        </w:rPr>
        <w:t>T</w:t>
      </w:r>
      <w:r>
        <w:rPr>
          <w:rFonts w:ascii="Times New Roman" w:hAnsi="Times New Roman" w:cs="Times New Roman"/>
        </w:rPr>
        <w:t xml:space="preserve">MDL </w:t>
      </w:r>
      <w:r w:rsidRPr="00943369">
        <w:rPr>
          <w:rFonts w:ascii="Times New Roman" w:hAnsi="Times New Roman" w:cs="Times New Roman"/>
          <w:b/>
        </w:rPr>
        <w:t>T</w:t>
      </w:r>
      <w:r>
        <w:rPr>
          <w:rFonts w:ascii="Times New Roman" w:hAnsi="Times New Roman" w:cs="Times New Roman"/>
        </w:rPr>
        <w:t xml:space="preserve">racking </w:t>
      </w:r>
      <w:r w:rsidRPr="00943369">
        <w:rPr>
          <w:rFonts w:ascii="Times New Roman" w:hAnsi="Times New Roman" w:cs="Times New Roman"/>
          <w:b/>
        </w:rPr>
        <w:t>a</w:t>
      </w:r>
      <w:r>
        <w:rPr>
          <w:rFonts w:ascii="Times New Roman" w:hAnsi="Times New Roman" w:cs="Times New Roman"/>
        </w:rPr>
        <w:t xml:space="preserve">nd </w:t>
      </w:r>
      <w:proofErr w:type="spellStart"/>
      <w:r w:rsidRPr="00943369">
        <w:rPr>
          <w:rFonts w:ascii="Times New Roman" w:hAnsi="Times New Roman" w:cs="Times New Roman"/>
          <w:b/>
        </w:rPr>
        <w:t>I</w:t>
      </w:r>
      <w:r>
        <w:rPr>
          <w:rFonts w:ascii="Times New Roman" w:hAnsi="Times New Roman" w:cs="Times New Roman"/>
        </w:rPr>
        <w:t>mplementatio</w:t>
      </w:r>
      <w:r w:rsidRPr="00943369">
        <w:rPr>
          <w:rFonts w:ascii="Times New Roman" w:hAnsi="Times New Roman" w:cs="Times New Roman"/>
          <w:b/>
        </w:rPr>
        <w:t>N</w:t>
      </w:r>
      <w:proofErr w:type="spellEnd"/>
      <w:r>
        <w:rPr>
          <w:rFonts w:ascii="Times New Roman" w:hAnsi="Times New Roman" w:cs="Times New Roman"/>
        </w:rPr>
        <w:t xml:space="preserve"> </w:t>
      </w:r>
      <w:r w:rsidRPr="00943369">
        <w:rPr>
          <w:rFonts w:ascii="Times New Roman" w:hAnsi="Times New Roman" w:cs="Times New Roman"/>
          <w:b/>
        </w:rPr>
        <w:t>S</w:t>
      </w:r>
      <w:r>
        <w:rPr>
          <w:rFonts w:ascii="Times New Roman" w:hAnsi="Times New Roman" w:cs="Times New Roman"/>
        </w:rPr>
        <w:t>ystem (ATTAINS)</w:t>
      </w:r>
      <w:r w:rsidR="0075649E">
        <w:rPr>
          <w:rFonts w:ascii="Times New Roman" w:hAnsi="Times New Roman" w:cs="Times New Roman"/>
        </w:rPr>
        <w:t>,</w:t>
      </w:r>
      <w:r w:rsidR="00ED0F8F">
        <w:rPr>
          <w:rFonts w:ascii="Times New Roman" w:hAnsi="Times New Roman" w:cs="Times New Roman"/>
        </w:rPr>
        <w:t xml:space="preserve"> which </w:t>
      </w:r>
      <w:r w:rsidR="009F7969">
        <w:rPr>
          <w:rFonts w:ascii="Times New Roman" w:hAnsi="Times New Roman" w:cs="Times New Roman"/>
        </w:rPr>
        <w:t xml:space="preserve">displays </w:t>
      </w:r>
      <w:r w:rsidR="001014B0">
        <w:rPr>
          <w:rFonts w:ascii="Times New Roman" w:hAnsi="Times New Roman" w:cs="Times New Roman"/>
        </w:rPr>
        <w:t xml:space="preserve">state </w:t>
      </w:r>
      <w:r w:rsidR="00943369">
        <w:rPr>
          <w:rFonts w:ascii="Times New Roman" w:hAnsi="Times New Roman" w:cs="Times New Roman"/>
        </w:rPr>
        <w:t xml:space="preserve">IR </w:t>
      </w:r>
      <w:r w:rsidR="00ED0F8F">
        <w:rPr>
          <w:rFonts w:ascii="Times New Roman" w:hAnsi="Times New Roman" w:cs="Times New Roman"/>
        </w:rPr>
        <w:t xml:space="preserve">information </w:t>
      </w:r>
      <w:r w:rsidR="00943369">
        <w:rPr>
          <w:rFonts w:ascii="Times New Roman" w:hAnsi="Times New Roman" w:cs="Times New Roman"/>
        </w:rPr>
        <w:t xml:space="preserve">reported to EPA </w:t>
      </w:r>
      <w:r w:rsidR="001014B0">
        <w:rPr>
          <w:rFonts w:ascii="Times New Roman" w:hAnsi="Times New Roman" w:cs="Times New Roman"/>
        </w:rPr>
        <w:t xml:space="preserve">under Sections 305(b) and 303(d). </w:t>
      </w:r>
      <w:r>
        <w:rPr>
          <w:rFonts w:ascii="Times New Roman" w:hAnsi="Times New Roman" w:cs="Times New Roman"/>
        </w:rPr>
        <w:t>As part of this evaluation, EPA will assess how ATTAIN</w:t>
      </w:r>
      <w:r w:rsidR="009F7969">
        <w:rPr>
          <w:rFonts w:ascii="Times New Roman" w:hAnsi="Times New Roman" w:cs="Times New Roman"/>
        </w:rPr>
        <w:t>S can be better integrated with</w:t>
      </w:r>
      <w:r w:rsidR="00ED0F8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water quality monitoring data</w:t>
      </w:r>
      <w:r w:rsidR="00CC1FCC">
        <w:rPr>
          <w:rFonts w:ascii="Times New Roman" w:hAnsi="Times New Roman" w:cs="Times New Roman"/>
        </w:rPr>
        <w:t xml:space="preserve"> in </w:t>
      </w:r>
      <w:r>
        <w:rPr>
          <w:rFonts w:ascii="Times New Roman" w:hAnsi="Times New Roman" w:cs="Times New Roman"/>
        </w:rPr>
        <w:t xml:space="preserve">STORET </w:t>
      </w:r>
      <w:r w:rsidR="009F7969">
        <w:rPr>
          <w:rFonts w:ascii="Times New Roman" w:hAnsi="Times New Roman" w:cs="Times New Roman"/>
        </w:rPr>
        <w:t xml:space="preserve">and with EPA’s geospatial surface water mapping tool, </w:t>
      </w:r>
      <w:r>
        <w:rPr>
          <w:rFonts w:ascii="Times New Roman" w:hAnsi="Times New Roman" w:cs="Times New Roman"/>
        </w:rPr>
        <w:t>the National Hydrography Dataset Plus (</w:t>
      </w:r>
      <w:proofErr w:type="spellStart"/>
      <w:r>
        <w:rPr>
          <w:rFonts w:ascii="Times New Roman" w:hAnsi="Times New Roman" w:cs="Times New Roman"/>
        </w:rPr>
        <w:t>NHD</w:t>
      </w:r>
      <w:r>
        <w:rPr>
          <w:rFonts w:ascii="Times New Roman" w:hAnsi="Times New Roman" w:cs="Times New Roman"/>
          <w:i/>
        </w:rPr>
        <w:t>Plus</w:t>
      </w:r>
      <w:proofErr w:type="spellEnd"/>
      <w:r>
        <w:rPr>
          <w:rFonts w:ascii="Times New Roman" w:hAnsi="Times New Roman" w:cs="Times New Roman"/>
        </w:rPr>
        <w:t xml:space="preserve">).  </w:t>
      </w:r>
    </w:p>
    <w:p w:rsidR="00DF5427" w:rsidRDefault="00B9567D" w:rsidP="001014B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Building on the success of the 305(b)/303(d) retrospective review</w:t>
      </w:r>
      <w:r w:rsidR="00C24B50">
        <w:rPr>
          <w:rFonts w:ascii="Times New Roman" w:hAnsi="Times New Roman" w:cs="Times New Roman"/>
        </w:rPr>
        <w:t>, EPA is seeking state p</w:t>
      </w:r>
      <w:r w:rsidR="003334A6">
        <w:rPr>
          <w:rFonts w:ascii="Times New Roman" w:hAnsi="Times New Roman" w:cs="Times New Roman"/>
        </w:rPr>
        <w:t>articipation in four workgroups starting in September 2013.  Over the next year, t</w:t>
      </w:r>
      <w:r w:rsidR="00C24B50">
        <w:rPr>
          <w:rFonts w:ascii="Times New Roman" w:hAnsi="Times New Roman" w:cs="Times New Roman"/>
        </w:rPr>
        <w:t>hese workgroups will hold monthly meetings via teleconference</w:t>
      </w:r>
      <w:r w:rsidR="001014B0">
        <w:rPr>
          <w:rFonts w:ascii="Times New Roman" w:hAnsi="Times New Roman" w:cs="Times New Roman"/>
        </w:rPr>
        <w:t>;</w:t>
      </w:r>
      <w:r>
        <w:rPr>
          <w:rFonts w:ascii="Times New Roman" w:hAnsi="Times New Roman" w:cs="Times New Roman"/>
        </w:rPr>
        <w:t xml:space="preserve"> their </w:t>
      </w:r>
      <w:r w:rsidR="00C24B50">
        <w:rPr>
          <w:rFonts w:ascii="Times New Roman" w:hAnsi="Times New Roman" w:cs="Times New Roman"/>
        </w:rPr>
        <w:t xml:space="preserve">input will </w:t>
      </w:r>
      <w:r w:rsidR="003334A6">
        <w:rPr>
          <w:rFonts w:ascii="Times New Roman" w:hAnsi="Times New Roman" w:cs="Times New Roman"/>
        </w:rPr>
        <w:t xml:space="preserve">aid </w:t>
      </w:r>
      <w:r w:rsidR="00943369">
        <w:rPr>
          <w:rFonts w:ascii="Times New Roman" w:hAnsi="Times New Roman" w:cs="Times New Roman"/>
        </w:rPr>
        <w:t>in</w:t>
      </w:r>
      <w:r w:rsidR="00C24B50">
        <w:rPr>
          <w:rFonts w:ascii="Times New Roman" w:hAnsi="Times New Roman" w:cs="Times New Roman"/>
        </w:rPr>
        <w:t xml:space="preserve"> determining </w:t>
      </w:r>
    </w:p>
    <w:p w:rsidR="00B9567D" w:rsidRDefault="00C24B50" w:rsidP="001014B0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lastRenderedPageBreak/>
        <w:t>the</w:t>
      </w:r>
      <w:proofErr w:type="gramEnd"/>
      <w:r>
        <w:rPr>
          <w:rFonts w:ascii="Times New Roman" w:hAnsi="Times New Roman" w:cs="Times New Roman"/>
        </w:rPr>
        <w:t xml:space="preserve"> future direction </w:t>
      </w:r>
      <w:r w:rsidR="0075649E">
        <w:rPr>
          <w:rFonts w:ascii="Times New Roman" w:hAnsi="Times New Roman" w:cs="Times New Roman"/>
        </w:rPr>
        <w:t xml:space="preserve">of </w:t>
      </w:r>
      <w:r>
        <w:rPr>
          <w:rFonts w:ascii="Times New Roman" w:hAnsi="Times New Roman" w:cs="Times New Roman"/>
        </w:rPr>
        <w:t xml:space="preserve">the ATTAINS system and the </w:t>
      </w:r>
      <w:r w:rsidRPr="00CC1FCC">
        <w:rPr>
          <w:rFonts w:ascii="Times New Roman" w:hAnsi="Times New Roman" w:cs="Times New Roman"/>
        </w:rPr>
        <w:t xml:space="preserve">Framework.  </w:t>
      </w:r>
      <w:r w:rsidR="003334A6">
        <w:rPr>
          <w:rFonts w:ascii="Times New Roman" w:hAnsi="Times New Roman" w:cs="Times New Roman"/>
        </w:rPr>
        <w:t>A final report on their findings is planned for September 2014.</w:t>
      </w:r>
    </w:p>
    <w:p w:rsidR="004F64C6" w:rsidRDefault="00C24B50" w:rsidP="001014B0">
      <w:pPr>
        <w:rPr>
          <w:rFonts w:ascii="Times New Roman" w:hAnsi="Times New Roman" w:cs="Times New Roman"/>
        </w:rPr>
      </w:pPr>
      <w:r w:rsidRPr="00CC1FCC">
        <w:rPr>
          <w:rFonts w:ascii="Times New Roman" w:hAnsi="Times New Roman" w:cs="Times New Roman"/>
        </w:rPr>
        <w:t>These four workgroups are:</w:t>
      </w:r>
    </w:p>
    <w:p w:rsidR="0075649E" w:rsidRPr="00943369" w:rsidRDefault="00C24B50" w:rsidP="00B9567D">
      <w:pPr>
        <w:pStyle w:val="ListParagraph"/>
        <w:widowControl w:val="0"/>
        <w:numPr>
          <w:ilvl w:val="0"/>
          <w:numId w:val="7"/>
        </w:numPr>
        <w:suppressAutoHyphens/>
        <w:autoSpaceDE w:val="0"/>
        <w:autoSpaceDN w:val="0"/>
        <w:adjustRightInd w:val="0"/>
        <w:spacing w:line="30" w:lineRule="atLeast"/>
        <w:ind w:left="274" w:hanging="274"/>
        <w:contextualSpacing w:val="0"/>
        <w:rPr>
          <w:rFonts w:ascii="Times New Roman" w:hAnsi="Times New Roman"/>
        </w:rPr>
      </w:pPr>
      <w:r w:rsidRPr="00E24A96">
        <w:rPr>
          <w:rFonts w:ascii="Times New Roman" w:hAnsi="Times New Roman"/>
          <w:b/>
        </w:rPr>
        <w:t>Data Elements and Schema:</w:t>
      </w:r>
      <w:r w:rsidRPr="00E24A96">
        <w:rPr>
          <w:rFonts w:ascii="Times New Roman" w:hAnsi="Times New Roman"/>
        </w:rPr>
        <w:t xml:space="preserve">  This workgroup will define the data elements and draft schema for exchanging </w:t>
      </w:r>
      <w:r w:rsidR="00943369">
        <w:rPr>
          <w:rFonts w:ascii="Times New Roman" w:hAnsi="Times New Roman"/>
        </w:rPr>
        <w:t xml:space="preserve">IR </w:t>
      </w:r>
      <w:r w:rsidRPr="00E24A96">
        <w:rPr>
          <w:rFonts w:ascii="Times New Roman" w:hAnsi="Times New Roman"/>
        </w:rPr>
        <w:t xml:space="preserve">information between the </w:t>
      </w:r>
      <w:r>
        <w:rPr>
          <w:rFonts w:ascii="Times New Roman" w:hAnsi="Times New Roman"/>
        </w:rPr>
        <w:t>s</w:t>
      </w:r>
      <w:r w:rsidRPr="00E24A96">
        <w:rPr>
          <w:rFonts w:ascii="Times New Roman" w:hAnsi="Times New Roman"/>
        </w:rPr>
        <w:t>tates and EPA.</w:t>
      </w:r>
    </w:p>
    <w:p w:rsidR="00C24B50" w:rsidRDefault="00C24B50" w:rsidP="00B9567D">
      <w:pPr>
        <w:pStyle w:val="ListParagraph"/>
        <w:widowControl w:val="0"/>
        <w:numPr>
          <w:ilvl w:val="0"/>
          <w:numId w:val="7"/>
        </w:numPr>
        <w:suppressAutoHyphens/>
        <w:autoSpaceDE w:val="0"/>
        <w:autoSpaceDN w:val="0"/>
        <w:adjustRightInd w:val="0"/>
        <w:spacing w:line="30" w:lineRule="atLeast"/>
        <w:ind w:left="274" w:hanging="274"/>
        <w:contextualSpacing w:val="0"/>
        <w:rPr>
          <w:rFonts w:ascii="Times New Roman" w:hAnsi="Times New Roman"/>
        </w:rPr>
      </w:pPr>
      <w:r w:rsidRPr="00C24B50">
        <w:rPr>
          <w:rFonts w:ascii="Times New Roman" w:hAnsi="Times New Roman"/>
          <w:b/>
        </w:rPr>
        <w:t>Data Exchange Methodology:</w:t>
      </w:r>
      <w:r w:rsidRPr="00C24B50">
        <w:rPr>
          <w:rFonts w:ascii="Times New Roman" w:hAnsi="Times New Roman"/>
        </w:rPr>
        <w:t xml:space="preserve">  This workgroup will make recommendations on data exchange </w:t>
      </w:r>
      <w:r w:rsidRPr="00C24B50">
        <w:rPr>
          <w:rFonts w:ascii="Times New Roman" w:hAnsi="Times New Roman"/>
        </w:rPr>
        <w:lastRenderedPageBreak/>
        <w:t xml:space="preserve">approaches and system design.  </w:t>
      </w:r>
    </w:p>
    <w:p w:rsidR="00C24B50" w:rsidRPr="00C24B50" w:rsidRDefault="00C24B50" w:rsidP="00B9567D">
      <w:pPr>
        <w:pStyle w:val="ListParagraph"/>
        <w:widowControl w:val="0"/>
        <w:numPr>
          <w:ilvl w:val="0"/>
          <w:numId w:val="7"/>
        </w:numPr>
        <w:suppressAutoHyphens/>
        <w:autoSpaceDE w:val="0"/>
        <w:autoSpaceDN w:val="0"/>
        <w:adjustRightInd w:val="0"/>
        <w:spacing w:line="30" w:lineRule="atLeast"/>
        <w:ind w:left="274" w:hanging="274"/>
        <w:contextualSpacing w:val="0"/>
        <w:rPr>
          <w:rFonts w:ascii="Times New Roman" w:hAnsi="Times New Roman"/>
        </w:rPr>
      </w:pPr>
      <w:r w:rsidRPr="00C24B50">
        <w:rPr>
          <w:rFonts w:ascii="Times New Roman" w:hAnsi="Times New Roman"/>
          <w:b/>
        </w:rPr>
        <w:t>Performance Measures Evaluation:</w:t>
      </w:r>
      <w:r w:rsidRPr="00C24B50">
        <w:rPr>
          <w:rFonts w:ascii="Times New Roman" w:hAnsi="Times New Roman"/>
        </w:rPr>
        <w:t xml:space="preserve">  This workgroup will evaluate the existing performance measures that can be reported </w:t>
      </w:r>
      <w:r w:rsidR="001014B0">
        <w:rPr>
          <w:rFonts w:ascii="Times New Roman" w:hAnsi="Times New Roman"/>
        </w:rPr>
        <w:t xml:space="preserve">using </w:t>
      </w:r>
      <w:r w:rsidR="00943369">
        <w:rPr>
          <w:rFonts w:ascii="Times New Roman" w:hAnsi="Times New Roman"/>
        </w:rPr>
        <w:t xml:space="preserve">IR </w:t>
      </w:r>
      <w:r w:rsidRPr="00C24B50">
        <w:rPr>
          <w:rFonts w:ascii="Times New Roman" w:hAnsi="Times New Roman"/>
        </w:rPr>
        <w:t>data</w:t>
      </w:r>
      <w:r w:rsidR="0075649E">
        <w:rPr>
          <w:rFonts w:ascii="Times New Roman" w:hAnsi="Times New Roman"/>
        </w:rPr>
        <w:t xml:space="preserve"> and</w:t>
      </w:r>
      <w:r w:rsidRPr="00C24B50">
        <w:rPr>
          <w:rFonts w:ascii="Times New Roman" w:hAnsi="Times New Roman"/>
        </w:rPr>
        <w:t xml:space="preserve"> </w:t>
      </w:r>
      <w:r w:rsidR="0075649E">
        <w:rPr>
          <w:rFonts w:ascii="Times New Roman" w:hAnsi="Times New Roman"/>
        </w:rPr>
        <w:t xml:space="preserve">will </w:t>
      </w:r>
      <w:r w:rsidR="003334A6">
        <w:rPr>
          <w:rFonts w:ascii="Times New Roman" w:hAnsi="Times New Roman"/>
        </w:rPr>
        <w:t xml:space="preserve">make </w:t>
      </w:r>
      <w:r w:rsidR="0075649E">
        <w:rPr>
          <w:rFonts w:ascii="Times New Roman" w:hAnsi="Times New Roman"/>
        </w:rPr>
        <w:t xml:space="preserve">recommendations on </w:t>
      </w:r>
      <w:r w:rsidRPr="00C24B50">
        <w:rPr>
          <w:rFonts w:ascii="Times New Roman" w:hAnsi="Times New Roman"/>
        </w:rPr>
        <w:t>how the new ATTAINS design can be used to report on these measures.</w:t>
      </w:r>
    </w:p>
    <w:p w:rsidR="00C24B50" w:rsidRPr="00E24A96" w:rsidRDefault="00C24B50" w:rsidP="00B9567D">
      <w:pPr>
        <w:pStyle w:val="ListParagraph"/>
        <w:widowControl w:val="0"/>
        <w:numPr>
          <w:ilvl w:val="0"/>
          <w:numId w:val="7"/>
        </w:numPr>
        <w:suppressAutoHyphens/>
        <w:autoSpaceDE w:val="0"/>
        <w:autoSpaceDN w:val="0"/>
        <w:adjustRightInd w:val="0"/>
        <w:spacing w:line="30" w:lineRule="atLeast"/>
        <w:ind w:left="274" w:hanging="274"/>
        <w:contextualSpacing w:val="0"/>
        <w:rPr>
          <w:rFonts w:ascii="Times New Roman" w:hAnsi="Times New Roman"/>
        </w:rPr>
      </w:pPr>
      <w:r w:rsidRPr="00E24A96">
        <w:rPr>
          <w:rFonts w:ascii="Times New Roman" w:hAnsi="Times New Roman"/>
          <w:b/>
        </w:rPr>
        <w:t>Improved Assessment Methods:</w:t>
      </w:r>
      <w:r w:rsidRPr="00E24A96">
        <w:rPr>
          <w:rFonts w:ascii="Times New Roman" w:hAnsi="Times New Roman"/>
        </w:rPr>
        <w:t xml:space="preserve">  This workgroup will evaluate tools and methods that can be used to discover monitoring data and </w:t>
      </w:r>
      <w:r w:rsidR="003334A6">
        <w:rPr>
          <w:rFonts w:ascii="Times New Roman" w:hAnsi="Times New Roman"/>
        </w:rPr>
        <w:t xml:space="preserve">automate comparisons to </w:t>
      </w:r>
      <w:r w:rsidRPr="00E24A96">
        <w:rPr>
          <w:rFonts w:ascii="Times New Roman" w:hAnsi="Times New Roman"/>
        </w:rPr>
        <w:t>water quality criteria.</w:t>
      </w:r>
    </w:p>
    <w:p w:rsidR="00E7711A" w:rsidRDefault="00E7711A" w:rsidP="004F64C6">
      <w:pPr>
        <w:rPr>
          <w:b/>
          <w:sz w:val="28"/>
          <w:szCs w:val="28"/>
        </w:rPr>
        <w:sectPr w:rsidR="00E7711A" w:rsidSect="00013EA5">
          <w:type w:val="continuous"/>
          <w:pgSz w:w="12240" w:h="15840"/>
          <w:pgMar w:top="1440" w:right="1080" w:bottom="1440" w:left="1080" w:header="720" w:footer="720" w:gutter="0"/>
          <w:cols w:num="2" w:space="720"/>
          <w:docGrid w:linePitch="360"/>
        </w:sectPr>
      </w:pPr>
    </w:p>
    <w:p w:rsidR="00E7711A" w:rsidRDefault="00676F79" w:rsidP="00E7711A">
      <w:pPr>
        <w:jc w:val="center"/>
        <w:rPr>
          <w:b/>
          <w:sz w:val="28"/>
          <w:szCs w:val="28"/>
        </w:rPr>
      </w:pPr>
      <w:r w:rsidRPr="00676F79">
        <w:rPr>
          <w:rFonts w:ascii="Times New Roman" w:hAnsi="Times New Roman"/>
          <w:b/>
          <w:noProof/>
        </w:rPr>
        <w:lastRenderedPageBreak/>
        <w:pict>
          <v:rect id="_x0000_s1028" style="position:absolute;left:0;text-align:left;margin-left:-30pt;margin-top:22.65pt;width:549pt;height:464.5pt;z-index:251657215" filled="f" strokecolor="#548dd4 [1951]" strokeweight="1.5pt"/>
        </w:pict>
      </w:r>
    </w:p>
    <w:p w:rsidR="00265C3A" w:rsidRDefault="00F635D4" w:rsidP="004F64C6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shapetype id="_x0000_t66" coordsize="21600,21600" o:spt="66" adj="5400,5400" path="m@0,l@0@1,21600@1,21600@2@0@2@0,21600,,10800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@0,0;0,10800;@0,21600;21600,10800" o:connectangles="270,180,90,0" textboxrect="@4,@1,21600,@2"/>
            <v:handles>
              <v:h position="#0,#1" xrange="0,21600" yrange="0,10800"/>
            </v:handles>
          </v:shapetype>
          <v:shape id="_x0000_s1029" type="#_x0000_t66" style="position:absolute;margin-left:168pt;margin-top:202pt;width:32.25pt;height:21pt;z-index:251659264" fillcolor="#4f81bd [3204]" stroked="f" strokecolor="#f2f2f2 [3041]" strokeweight="3pt">
            <v:shadow on="t" type="perspective" color="#243f60 [1604]" opacity=".5" offset="1pt" offset2="-1pt"/>
          </v:shape>
        </w:pict>
      </w:r>
      <w:r w:rsidR="00E7711A">
        <w:rPr>
          <w:b/>
          <w:sz w:val="28"/>
          <w:szCs w:val="28"/>
        </w:rPr>
        <w:t xml:space="preserve">    </w:t>
      </w:r>
      <w:r w:rsidR="00265C3A" w:rsidRPr="00265C3A">
        <w:rPr>
          <w:b/>
          <w:noProof/>
          <w:sz w:val="28"/>
          <w:szCs w:val="28"/>
        </w:rPr>
        <w:drawing>
          <wp:inline distT="0" distB="0" distL="0" distR="0">
            <wp:extent cx="6229350" cy="4200525"/>
            <wp:effectExtent l="19050" t="0" r="0" b="0"/>
            <wp:docPr id="5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8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1157" cy="42017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E7711A" w:rsidRPr="003334A6" w:rsidRDefault="001014B0" w:rsidP="00E7711A">
      <w:pPr>
        <w:ind w:left="270"/>
        <w:rPr>
          <w:rFonts w:ascii="Times New Roman" w:hAnsi="Times New Roman" w:cs="Times New Roman"/>
          <w:i/>
          <w:color w:val="17365D" w:themeColor="text2" w:themeShade="BF"/>
        </w:rPr>
      </w:pPr>
      <w:r w:rsidRPr="003334A6">
        <w:rPr>
          <w:rFonts w:ascii="Times New Roman" w:hAnsi="Times New Roman" w:cs="Times New Roman"/>
          <w:i/>
          <w:color w:val="17365D" w:themeColor="text2" w:themeShade="BF"/>
        </w:rPr>
        <w:t xml:space="preserve">This </w:t>
      </w:r>
      <w:r w:rsidR="00E7711A" w:rsidRPr="003334A6">
        <w:rPr>
          <w:rFonts w:ascii="Times New Roman" w:hAnsi="Times New Roman" w:cs="Times New Roman"/>
          <w:i/>
          <w:color w:val="17365D" w:themeColor="text2" w:themeShade="BF"/>
        </w:rPr>
        <w:t xml:space="preserve">graphic represents how the Water Quality Framework </w:t>
      </w:r>
      <w:r w:rsidRPr="003334A6">
        <w:rPr>
          <w:rFonts w:ascii="Times New Roman" w:hAnsi="Times New Roman" w:cs="Times New Roman"/>
          <w:i/>
          <w:color w:val="17365D" w:themeColor="text2" w:themeShade="BF"/>
        </w:rPr>
        <w:t>could</w:t>
      </w:r>
      <w:r w:rsidR="00E7711A" w:rsidRPr="003334A6">
        <w:rPr>
          <w:rFonts w:ascii="Times New Roman" w:hAnsi="Times New Roman" w:cs="Times New Roman"/>
          <w:i/>
          <w:color w:val="17365D" w:themeColor="text2" w:themeShade="BF"/>
        </w:rPr>
        <w:t xml:space="preserve"> integrate assessment information on </w:t>
      </w:r>
      <w:r w:rsidR="003334A6" w:rsidRPr="003334A6">
        <w:rPr>
          <w:rFonts w:ascii="Times New Roman" w:hAnsi="Times New Roman" w:cs="Times New Roman"/>
          <w:i/>
          <w:color w:val="17365D" w:themeColor="text2" w:themeShade="BF"/>
        </w:rPr>
        <w:t>EPA’s public web site. The user c</w:t>
      </w:r>
      <w:r w:rsidR="00E7711A" w:rsidRPr="003334A6">
        <w:rPr>
          <w:rFonts w:ascii="Times New Roman" w:hAnsi="Times New Roman" w:cs="Times New Roman"/>
          <w:i/>
          <w:color w:val="17365D" w:themeColor="text2" w:themeShade="BF"/>
        </w:rPr>
        <w:t>ould start at the national scale</w:t>
      </w:r>
      <w:r w:rsidRPr="003334A6">
        <w:rPr>
          <w:rFonts w:ascii="Times New Roman" w:hAnsi="Times New Roman" w:cs="Times New Roman"/>
          <w:i/>
          <w:color w:val="17365D" w:themeColor="text2" w:themeShade="BF"/>
        </w:rPr>
        <w:t>,</w:t>
      </w:r>
      <w:r w:rsidR="00E7711A" w:rsidRPr="003334A6">
        <w:rPr>
          <w:rFonts w:ascii="Times New Roman" w:hAnsi="Times New Roman" w:cs="Times New Roman"/>
          <w:i/>
          <w:color w:val="17365D" w:themeColor="text2" w:themeShade="BF"/>
        </w:rPr>
        <w:t xml:space="preserve"> interact</w:t>
      </w:r>
      <w:r w:rsidRPr="003334A6">
        <w:rPr>
          <w:rFonts w:ascii="Times New Roman" w:hAnsi="Times New Roman" w:cs="Times New Roman"/>
          <w:i/>
          <w:color w:val="17365D" w:themeColor="text2" w:themeShade="BF"/>
        </w:rPr>
        <w:t>ing</w:t>
      </w:r>
      <w:r w:rsidR="00E7711A" w:rsidRPr="003334A6">
        <w:rPr>
          <w:rFonts w:ascii="Times New Roman" w:hAnsi="Times New Roman" w:cs="Times New Roman"/>
          <w:i/>
          <w:color w:val="17365D" w:themeColor="text2" w:themeShade="BF"/>
        </w:rPr>
        <w:t xml:space="preserve"> with data and summary information from EPA’s National </w:t>
      </w:r>
      <w:r w:rsidRPr="003334A6">
        <w:rPr>
          <w:rFonts w:ascii="Times New Roman" w:hAnsi="Times New Roman" w:cs="Times New Roman"/>
          <w:i/>
          <w:color w:val="17365D" w:themeColor="text2" w:themeShade="BF"/>
        </w:rPr>
        <w:t>Aquatic Resource</w:t>
      </w:r>
      <w:r w:rsidR="0075649E" w:rsidRPr="003334A6">
        <w:rPr>
          <w:rFonts w:ascii="Times New Roman" w:hAnsi="Times New Roman" w:cs="Times New Roman"/>
          <w:i/>
          <w:color w:val="17365D" w:themeColor="text2" w:themeShade="BF"/>
        </w:rPr>
        <w:t xml:space="preserve"> </w:t>
      </w:r>
      <w:r w:rsidR="003334A6" w:rsidRPr="003334A6">
        <w:rPr>
          <w:rFonts w:ascii="Times New Roman" w:hAnsi="Times New Roman" w:cs="Times New Roman"/>
          <w:i/>
          <w:color w:val="17365D" w:themeColor="text2" w:themeShade="BF"/>
        </w:rPr>
        <w:t xml:space="preserve">Surveys.  From there, the </w:t>
      </w:r>
      <w:r w:rsidR="00E7711A" w:rsidRPr="003334A6">
        <w:rPr>
          <w:rFonts w:ascii="Times New Roman" w:hAnsi="Times New Roman" w:cs="Times New Roman"/>
          <w:i/>
          <w:color w:val="17365D" w:themeColor="text2" w:themeShade="BF"/>
        </w:rPr>
        <w:t>user</w:t>
      </w:r>
      <w:r w:rsidRPr="003334A6">
        <w:rPr>
          <w:rFonts w:ascii="Times New Roman" w:hAnsi="Times New Roman" w:cs="Times New Roman"/>
          <w:i/>
          <w:color w:val="17365D" w:themeColor="text2" w:themeShade="BF"/>
        </w:rPr>
        <w:t xml:space="preserve"> </w:t>
      </w:r>
      <w:r w:rsidR="00E7711A" w:rsidRPr="003334A6">
        <w:rPr>
          <w:rFonts w:ascii="Times New Roman" w:hAnsi="Times New Roman" w:cs="Times New Roman"/>
          <w:i/>
          <w:color w:val="17365D" w:themeColor="text2" w:themeShade="BF"/>
        </w:rPr>
        <w:t>would be able to navigate to a state-scale survey, and then be able to zoom into state priority areas and evaluate site-specific assessments and restoration activities.</w:t>
      </w:r>
    </w:p>
    <w:sectPr w:rsidR="00E7711A" w:rsidRPr="003334A6" w:rsidSect="00265C3A">
      <w:type w:val="continuous"/>
      <w:pgSz w:w="12240" w:h="15840"/>
      <w:pgMar w:top="1440" w:right="1440" w:bottom="864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996223"/>
    <w:multiLevelType w:val="hybridMultilevel"/>
    <w:tmpl w:val="688C264E"/>
    <w:lvl w:ilvl="0" w:tplc="0B3685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0FE51AA">
      <w:start w:val="2204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9E856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A62E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132A1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F906C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3D05C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5B82B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620F7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3082357B"/>
    <w:multiLevelType w:val="hybridMultilevel"/>
    <w:tmpl w:val="C7C43128"/>
    <w:lvl w:ilvl="0" w:tplc="4B5ECE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B42BD0A">
      <w:start w:val="2034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9563B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97ADA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6BCA1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08634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8C64E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D3289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A4655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403B5AB3"/>
    <w:multiLevelType w:val="hybridMultilevel"/>
    <w:tmpl w:val="82268BE2"/>
    <w:lvl w:ilvl="0" w:tplc="F2D0BB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A229D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EEE02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E5EFF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E9049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DD89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D443A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B2CCA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5EA8F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48257689"/>
    <w:multiLevelType w:val="hybridMultilevel"/>
    <w:tmpl w:val="8B76C0C0"/>
    <w:lvl w:ilvl="0" w:tplc="0B3685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9E856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A62E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132A1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F906C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3D05C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5B82B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620F7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4B151747"/>
    <w:multiLevelType w:val="multilevel"/>
    <w:tmpl w:val="858CE24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5">
    <w:nsid w:val="64A97409"/>
    <w:multiLevelType w:val="hybridMultilevel"/>
    <w:tmpl w:val="8CFC07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4825EC9"/>
    <w:multiLevelType w:val="hybridMultilevel"/>
    <w:tmpl w:val="4290ECD6"/>
    <w:lvl w:ilvl="0" w:tplc="0B3685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B5ECEA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9E856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A62E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132A1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F906C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3D05C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5B82B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620F7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 w:numId="6">
    <w:abstractNumId w:val="6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oNotTrackFormatting/>
  <w:defaultTabStop w:val="720"/>
  <w:drawingGridHorizontalSpacing w:val="110"/>
  <w:displayHorizontalDrawingGridEvery w:val="2"/>
  <w:characterSpacingControl w:val="doNotCompress"/>
  <w:compat/>
  <w:rsids>
    <w:rsidRoot w:val="004F64C6"/>
    <w:rsid w:val="00013EA5"/>
    <w:rsid w:val="000702CC"/>
    <w:rsid w:val="001014B0"/>
    <w:rsid w:val="001E7DF9"/>
    <w:rsid w:val="001E7FDB"/>
    <w:rsid w:val="00265C3A"/>
    <w:rsid w:val="00273B64"/>
    <w:rsid w:val="0028153C"/>
    <w:rsid w:val="00315EB3"/>
    <w:rsid w:val="003334A6"/>
    <w:rsid w:val="003A310B"/>
    <w:rsid w:val="003E0FA9"/>
    <w:rsid w:val="00417973"/>
    <w:rsid w:val="004271D9"/>
    <w:rsid w:val="00492388"/>
    <w:rsid w:val="004C11EB"/>
    <w:rsid w:val="004E0753"/>
    <w:rsid w:val="004F64C6"/>
    <w:rsid w:val="00570F46"/>
    <w:rsid w:val="006057F8"/>
    <w:rsid w:val="00676F79"/>
    <w:rsid w:val="0075649E"/>
    <w:rsid w:val="0080649D"/>
    <w:rsid w:val="0083754A"/>
    <w:rsid w:val="00856003"/>
    <w:rsid w:val="00885A6E"/>
    <w:rsid w:val="00943369"/>
    <w:rsid w:val="009870E2"/>
    <w:rsid w:val="009F7969"/>
    <w:rsid w:val="00B9567D"/>
    <w:rsid w:val="00C15F99"/>
    <w:rsid w:val="00C24B50"/>
    <w:rsid w:val="00C414EF"/>
    <w:rsid w:val="00C458B9"/>
    <w:rsid w:val="00CC1FCC"/>
    <w:rsid w:val="00D61F12"/>
    <w:rsid w:val="00DF5427"/>
    <w:rsid w:val="00E5052D"/>
    <w:rsid w:val="00E7711A"/>
    <w:rsid w:val="00ED0F8F"/>
    <w:rsid w:val="00F26250"/>
    <w:rsid w:val="00F635D4"/>
    <w:rsid w:val="00FB04A3"/>
    <w:rsid w:val="00FC3BC6"/>
    <w:rsid w:val="00FE56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fillcolor="none [3204]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7F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649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13E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3EA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D0F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D0F8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D0F8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0F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0F8F"/>
    <w:rPr>
      <w:b/>
      <w:bCs/>
    </w:rPr>
  </w:style>
  <w:style w:type="paragraph" w:styleId="Revision">
    <w:name w:val="Revision"/>
    <w:hidden/>
    <w:uiPriority w:val="99"/>
    <w:semiHidden/>
    <w:rsid w:val="00ED0F8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90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6925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362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65465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8093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138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489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3600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4652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797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6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9997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694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5566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63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2021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34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256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2171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1118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0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0501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7CC988-2E97-455A-B74A-593AEF887B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635</Words>
  <Characters>3624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US-EPA</Company>
  <LinksUpToDate>false</LinksUpToDate>
  <CharactersWithSpaces>4251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Dwane Young</dc:creator>
  <cp:keywords/>
  <dc:description/>
  <cp:lastModifiedBy>EPA</cp:lastModifiedBy>
  <cp:revision>4</cp:revision>
  <cp:lastPrinted>2013-08-02T13:57:00Z</cp:lastPrinted>
  <dcterms:created xsi:type="dcterms:W3CDTF">2013-08-01T21:40:00Z</dcterms:created>
  <dcterms:modified xsi:type="dcterms:W3CDTF">2013-08-02T19:09:00Z</dcterms:modified>
</cp:coreProperties>
</file>