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6EB" w:rsidRPr="0077392F" w:rsidRDefault="00406093">
      <w:pPr>
        <w:rPr>
          <w:sz w:val="32"/>
          <w:szCs w:val="32"/>
        </w:rPr>
      </w:pPr>
      <w:r w:rsidRPr="0077392F">
        <w:rPr>
          <w:sz w:val="32"/>
          <w:szCs w:val="32"/>
        </w:rPr>
        <w:t>How to join Results to Limits using the Water Quality Portal download reports?</w:t>
      </w:r>
    </w:p>
    <w:p w:rsidR="006516EB" w:rsidRDefault="006516EB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516EB" w:rsidRDefault="009C401B">
      <w:r>
        <w:t xml:space="preserve">Defining the </w:t>
      </w:r>
      <w:r w:rsidR="003F1BEE">
        <w:t>“</w:t>
      </w:r>
      <w:r>
        <w:t>Join Type</w:t>
      </w:r>
      <w:r w:rsidR="003F1BEE">
        <w:t>”</w:t>
      </w:r>
      <w:r>
        <w:t xml:space="preserve"> in MS Access as follows</w:t>
      </w:r>
      <w:bookmarkStart w:id="0" w:name="_GoBack"/>
      <w:bookmarkEnd w:id="0"/>
    </w:p>
    <w:p w:rsidR="009C401B" w:rsidRDefault="009C401B" w:rsidP="009C401B">
      <w:pPr>
        <w:pStyle w:val="ListParagraph"/>
        <w:numPr>
          <w:ilvl w:val="0"/>
          <w:numId w:val="1"/>
        </w:numPr>
      </w:pPr>
      <w:r>
        <w:t>RESULT DETECTION QUANTICATION LIMIT   AND   RESULT (narrow)</w:t>
      </w:r>
    </w:p>
    <w:p w:rsidR="003F1BEE" w:rsidRDefault="003F1BEE" w:rsidP="003F1BEE">
      <w:pPr>
        <w:pStyle w:val="ListParagraph"/>
        <w:numPr>
          <w:ilvl w:val="1"/>
          <w:numId w:val="1"/>
        </w:numPr>
      </w:pPr>
      <w:proofErr w:type="spellStart"/>
      <w:r>
        <w:t>ResultIdentifier</w:t>
      </w:r>
      <w:proofErr w:type="spellEnd"/>
      <w:r>
        <w:t xml:space="preserve"> &lt;=====&gt; </w:t>
      </w:r>
      <w:proofErr w:type="spellStart"/>
      <w:r>
        <w:t>ResultIdentifier</w:t>
      </w:r>
      <w:proofErr w:type="spellEnd"/>
    </w:p>
    <w:p w:rsidR="006516EB" w:rsidRDefault="009C401B">
      <w:r>
        <w:rPr>
          <w:noProof/>
        </w:rPr>
        <w:drawing>
          <wp:inline distT="0" distB="0" distL="0" distR="0">
            <wp:extent cx="5819775" cy="439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BEE" w:rsidRDefault="003F1BEE"/>
    <w:p w:rsidR="003F1BEE" w:rsidRDefault="003F1BEE" w:rsidP="003F1BEE">
      <w:r>
        <w:lastRenderedPageBreak/>
        <w:t>Defining the “Join Type” in MS Access as follows</w:t>
      </w:r>
    </w:p>
    <w:p w:rsidR="003F1BEE" w:rsidRDefault="003F1BEE" w:rsidP="003F1BEE">
      <w:pPr>
        <w:pStyle w:val="ListParagraph"/>
        <w:numPr>
          <w:ilvl w:val="0"/>
          <w:numId w:val="3"/>
        </w:numPr>
      </w:pPr>
      <w:r>
        <w:t>ACTIVITY   AND   RESULT (narrow)</w:t>
      </w:r>
    </w:p>
    <w:p w:rsidR="003F1BEE" w:rsidRDefault="003F1BEE" w:rsidP="003F1BEE">
      <w:pPr>
        <w:pStyle w:val="ListParagraph"/>
        <w:numPr>
          <w:ilvl w:val="1"/>
          <w:numId w:val="3"/>
        </w:numPr>
      </w:pPr>
      <w:proofErr w:type="spellStart"/>
      <w:r>
        <w:t>ActivityIdentifier</w:t>
      </w:r>
      <w:proofErr w:type="spellEnd"/>
      <w:r>
        <w:t xml:space="preserve"> &lt;=====&gt; </w:t>
      </w:r>
      <w:proofErr w:type="spellStart"/>
      <w:r>
        <w:t>ActivityIdentifier</w:t>
      </w:r>
      <w:proofErr w:type="spellEnd"/>
    </w:p>
    <w:p w:rsidR="003F1BEE" w:rsidRDefault="003F1BEE" w:rsidP="003F1BEE">
      <w:r>
        <w:rPr>
          <w:noProof/>
        </w:rPr>
        <w:drawing>
          <wp:inline distT="0" distB="0" distL="0" distR="0" wp14:anchorId="25479C43" wp14:editId="4742762E">
            <wp:extent cx="5840405" cy="347662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349" cy="34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BEE" w:rsidRDefault="003F1BEE" w:rsidP="003F1BEE">
      <w:r>
        <w:t>Defining the “Join Type” in MS Access as follows</w:t>
      </w:r>
    </w:p>
    <w:p w:rsidR="003F1BEE" w:rsidRDefault="003F1BEE" w:rsidP="003F1BEE">
      <w:pPr>
        <w:pStyle w:val="ListParagraph"/>
        <w:numPr>
          <w:ilvl w:val="0"/>
          <w:numId w:val="4"/>
        </w:numPr>
      </w:pPr>
      <w:r>
        <w:t>MONITORING LOCATION</w:t>
      </w:r>
      <w:r>
        <w:t xml:space="preserve">   AND   RESULT (narrow)</w:t>
      </w:r>
    </w:p>
    <w:p w:rsidR="003F1BEE" w:rsidRDefault="003F1BEE" w:rsidP="003F1BEE">
      <w:pPr>
        <w:pStyle w:val="ListParagraph"/>
        <w:numPr>
          <w:ilvl w:val="1"/>
          <w:numId w:val="4"/>
        </w:numPr>
      </w:pPr>
      <w:proofErr w:type="spellStart"/>
      <w:r>
        <w:t>MonitoringLocation</w:t>
      </w:r>
      <w:r>
        <w:t>Identifier</w:t>
      </w:r>
      <w:proofErr w:type="spellEnd"/>
      <w:r>
        <w:t xml:space="preserve"> &lt;=====&gt; </w:t>
      </w:r>
      <w:proofErr w:type="spellStart"/>
      <w:r>
        <w:t>MonitoringLocationIdentifier</w:t>
      </w:r>
      <w:proofErr w:type="spellEnd"/>
    </w:p>
    <w:p w:rsidR="003F1BEE" w:rsidRDefault="00F01B41" w:rsidP="003F1BEE">
      <w:r>
        <w:rPr>
          <w:noProof/>
        </w:rPr>
        <w:drawing>
          <wp:inline distT="0" distB="0" distL="0" distR="0">
            <wp:extent cx="5176403" cy="383730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12" cy="385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BEE" w:rsidRDefault="003F1BEE" w:rsidP="003F1BEE"/>
    <w:p w:rsidR="006516EB" w:rsidRDefault="009C401B">
      <w:r>
        <w:t xml:space="preserve">Water Quality Portal </w:t>
      </w:r>
      <w:r w:rsidR="008712EC">
        <w:t xml:space="preserve">User Guide URL:  </w:t>
      </w:r>
      <w:hyperlink r:id="rId13" w:history="1">
        <w:r w:rsidR="008712EC" w:rsidRPr="00FD6121">
          <w:rPr>
            <w:rStyle w:val="Hyperlink"/>
          </w:rPr>
          <w:t>https://www.waterqualitydata.us/portal_userguide/</w:t>
        </w:r>
      </w:hyperlink>
    </w:p>
    <w:p w:rsidR="008712EC" w:rsidRPr="00F93937" w:rsidRDefault="001609B5">
      <w:pPr>
        <w:rPr>
          <w:b/>
          <w:sz w:val="32"/>
          <w:szCs w:val="32"/>
        </w:rPr>
      </w:pPr>
      <w:r w:rsidRPr="00F93937">
        <w:rPr>
          <w:b/>
          <w:sz w:val="32"/>
          <w:szCs w:val="32"/>
        </w:rPr>
        <w:t>RESULTS (narrow)</w:t>
      </w:r>
    </w:p>
    <w:p w:rsidR="006516EB" w:rsidRPr="006516EB" w:rsidRDefault="006516EB" w:rsidP="006516EB">
      <w:pPr>
        <w:shd w:val="clear" w:color="auto" w:fill="E9E3D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516E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Table 7. </w:t>
      </w:r>
      <w:r w:rsidRPr="006516EB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Sample result retrieval elements and definitions for the "narrow" data profile</w:t>
      </w:r>
    </w:p>
    <w:p w:rsidR="006516EB" w:rsidRPr="006516EB" w:rsidRDefault="006516EB" w:rsidP="006516EB">
      <w:pPr>
        <w:shd w:val="clear" w:color="auto" w:fill="E9E3D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516EB" w:rsidRPr="006516EB" w:rsidRDefault="006516EB" w:rsidP="006516EB">
      <w:pPr>
        <w:shd w:val="clear" w:color="auto" w:fill="E9E3D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 xml:space="preserve">This data profile contains minimal data from parts of the WQX data model that are not in the "Result" section of WQX.  Activity data can be linked to the </w:t>
      </w:r>
      <w:proofErr w:type="spellStart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>activityID</w:t>
      </w:r>
      <w:proofErr w:type="spellEnd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 xml:space="preserve"> through </w:t>
      </w:r>
      <w:proofErr w:type="spellStart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>ActivityID</w:t>
      </w:r>
      <w:proofErr w:type="spellEnd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 xml:space="preserve">, and </w:t>
      </w:r>
      <w:proofErr w:type="spellStart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>ResultIdentifier</w:t>
      </w:r>
      <w:proofErr w:type="spellEnd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 xml:space="preserve"> can be used to link to </w:t>
      </w:r>
      <w:proofErr w:type="spellStart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>ResultDetectionQuantitationLimit</w:t>
      </w:r>
      <w:proofErr w:type="spellEnd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 xml:space="preserve"> data.</w:t>
      </w:r>
    </w:p>
    <w:tbl>
      <w:tblPr>
        <w:tblW w:w="0" w:type="auto"/>
        <w:shd w:val="clear" w:color="auto" w:fill="F7F0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6"/>
        <w:gridCol w:w="7134"/>
      </w:tblGrid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Narrow data profile Result Retrieval Element</w:t>
            </w:r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40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OrganizationIdentifier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A designator used to uniquely identify a unique business establishment within a context.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OrganizationFormalName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The legal designator (i.e. formal name) of an organization.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40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ActivityIdentifier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A designator used to uniquely identify a data collection project within a context of an organization.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ActivityStartDate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The calendar date on which the field activity is started.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ActivityStartTime</w:t>
            </w:r>
            <w:proofErr w:type="spellEnd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/Time</w:t>
            </w:r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The time of day that is reported when the field activity began, based on a 24-hour timescale.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ActivityStartTime</w:t>
            </w:r>
            <w:proofErr w:type="spellEnd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TimeZoneCode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The time zone for which the time of day is reported. Any of the longitudinal divisions of the earth's surface in which a standard time is kept.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40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MonitoringLocationIdentifier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A designator used to describe the unique name, number, or code assigned to identify the monitoring location.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40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ResultIdentifier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Identifier that </w:t>
            </w: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uniquly</w:t>
            </w:r>
            <w:proofErr w:type="spellEnd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identifies this result in the Water Quality Portal output.  This identifier is unique within an output, but not </w:t>
            </w: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nessarily</w:t>
            </w:r>
            <w:proofErr w:type="spellEnd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over time.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DataLoggerLine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The unique line identifier from a data logger result text file, normally a date/time format but could be any user defined name, e.g. "surface", "mD68:D86idwinter", and or "bottom"</w:t>
            </w:r>
            <w:proofErr w:type="gram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.)The</w:t>
            </w:r>
            <w:proofErr w:type="gramEnd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unique line identifier from a data logger result text file, normally a date/time format but could be any user defined name, e.g. "surface", "midwinter", and or "bottom".)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2F3B9A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C6B2D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 w:rsidR="002F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516EB"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B9A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3B9A" w:rsidRDefault="006C6B2D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Etc…</w:t>
            </w:r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3B9A" w:rsidRDefault="006C6B2D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ProviderName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name of the database that provided the data to the Water </w:t>
            </w: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Qaulity</w:t>
            </w:r>
            <w:proofErr w:type="spellEnd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portal (E.G. STORET, NWIS, STEWARDS)</w:t>
            </w:r>
          </w:p>
        </w:tc>
      </w:tr>
    </w:tbl>
    <w:p w:rsidR="00F93937" w:rsidRDefault="00F93937" w:rsidP="00F93937"/>
    <w:p w:rsidR="00F93937" w:rsidRPr="00F93937" w:rsidRDefault="00F93937" w:rsidP="00F93937">
      <w:r w:rsidRPr="00F93937">
        <w:rPr>
          <w:b/>
          <w:sz w:val="32"/>
          <w:szCs w:val="32"/>
        </w:rPr>
        <w:lastRenderedPageBreak/>
        <w:t>RESULT DETECTION QUANTITATION LIMIT</w:t>
      </w:r>
      <w:r>
        <w:t xml:space="preserve"> (</w:t>
      </w:r>
      <w:proofErr w:type="spellStart"/>
      <w:r w:rsidRPr="009C401B">
        <w:rPr>
          <w:rFonts w:ascii="Times New Roman" w:eastAsia="Times New Roman" w:hAnsi="Times New Roman" w:cs="Times New Roman"/>
          <w:sz w:val="24"/>
          <w:szCs w:val="24"/>
          <w:highlight w:val="green"/>
        </w:rPr>
        <w:t>ResultIdentifier</w:t>
      </w:r>
      <w:proofErr w:type="spellEnd"/>
      <w:r>
        <w:t>)</w:t>
      </w:r>
    </w:p>
    <w:p w:rsidR="006516EB" w:rsidRPr="006516EB" w:rsidRDefault="006516EB" w:rsidP="006516EB">
      <w:pPr>
        <w:shd w:val="clear" w:color="auto" w:fill="E9E3D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>Table 8. </w:t>
      </w:r>
      <w:r w:rsidRPr="006516EB">
        <w:rPr>
          <w:rFonts w:ascii="Helvetica" w:eastAsia="Times New Roman" w:hAnsi="Helvetica" w:cs="Helvetica"/>
          <w:color w:val="000000"/>
          <w:sz w:val="21"/>
          <w:szCs w:val="21"/>
        </w:rPr>
        <w:t>Result Detection Quantitation Limit elements and definitions.  </w:t>
      </w:r>
    </w:p>
    <w:p w:rsidR="006516EB" w:rsidRPr="006516EB" w:rsidRDefault="006516EB" w:rsidP="006516EB">
      <w:pPr>
        <w:shd w:val="clear" w:color="auto" w:fill="E9E3D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 xml:space="preserve">Constituent concentration that, when processed through the complete method, produces a signal that is statistically different from a blank.  There can be multiple Result Detection Quantitation limits per result, and they can be linked to results retrieved using the "narrow" result profile using </w:t>
      </w:r>
      <w:proofErr w:type="spellStart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>ResultIdentifier</w:t>
      </w:r>
      <w:proofErr w:type="spellEnd"/>
      <w:r w:rsidRPr="006516EB">
        <w:rPr>
          <w:rFonts w:ascii="Helvetica" w:eastAsia="Times New Roman" w:hAnsi="Helvetica" w:cs="Helvetica"/>
          <w:color w:val="333333"/>
          <w:sz w:val="21"/>
          <w:szCs w:val="21"/>
        </w:rPr>
        <w:t>. </w:t>
      </w:r>
    </w:p>
    <w:tbl>
      <w:tblPr>
        <w:tblW w:w="0" w:type="auto"/>
        <w:shd w:val="clear" w:color="auto" w:fill="F7F0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9"/>
        <w:gridCol w:w="5361"/>
      </w:tblGrid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Result Detection Quantitation Limit Element</w:t>
            </w:r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DetectionQuantitationLimitTypeName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Text describing the type of detection or quantitation limit used in the analysis of a characteristic.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DetectionQuantitationLimitMeasure</w:t>
            </w:r>
            <w:proofErr w:type="spellEnd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MeasureValue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The reportable measure of the result for the chemical, microbiological or other characteristic being analyzed.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DetectionQuantitationLimitMeasure</w:t>
            </w:r>
            <w:proofErr w:type="spellEnd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MeasureUnitCode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The code that represents the unit for measuring the chemical substance, microbiological substance or other characteristic.</w:t>
            </w:r>
          </w:p>
        </w:tc>
      </w:tr>
      <w:tr w:rsidR="006516EB" w:rsidRPr="006516EB" w:rsidTr="006516EB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40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ResultIdentifier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16EB" w:rsidRPr="006516EB" w:rsidRDefault="006516EB" w:rsidP="006516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EB">
              <w:rPr>
                <w:rFonts w:ascii="Times New Roman" w:eastAsia="Times New Roman" w:hAnsi="Times New Roman" w:cs="Times New Roman"/>
                <w:sz w:val="24"/>
                <w:szCs w:val="24"/>
              </w:rPr>
              <w:t>The Identifier that links a result record to a Result Detection Quantitation Limit record</w:t>
            </w:r>
          </w:p>
        </w:tc>
      </w:tr>
    </w:tbl>
    <w:p w:rsidR="006516EB" w:rsidRPr="006516EB" w:rsidRDefault="006516EB" w:rsidP="006516EB">
      <w:pPr>
        <w:shd w:val="clear" w:color="auto" w:fill="E9E3D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93937" w:rsidRDefault="00F93937" w:rsidP="00F93937"/>
    <w:p w:rsidR="00F93937" w:rsidRPr="00F93937" w:rsidRDefault="00F93937" w:rsidP="00F93937">
      <w:r w:rsidRPr="00F93937">
        <w:rPr>
          <w:b/>
          <w:sz w:val="32"/>
          <w:szCs w:val="32"/>
        </w:rPr>
        <w:t>ACTIVITY</w:t>
      </w:r>
      <w:r>
        <w:t xml:space="preserve"> (</w:t>
      </w:r>
      <w:proofErr w:type="spellStart"/>
      <w:r w:rsidRPr="009C401B">
        <w:rPr>
          <w:rFonts w:ascii="Times New Roman" w:eastAsia="Times New Roman" w:hAnsi="Times New Roman" w:cs="Times New Roman"/>
          <w:sz w:val="24"/>
          <w:szCs w:val="24"/>
          <w:highlight w:val="green"/>
        </w:rPr>
        <w:t>ActivityIdentifier</w:t>
      </w:r>
      <w:proofErr w:type="spellEnd"/>
      <w:r>
        <w:t>)</w:t>
      </w:r>
    </w:p>
    <w:p w:rsidR="00CF3526" w:rsidRPr="00CF3526" w:rsidRDefault="00CF3526" w:rsidP="00CF3526">
      <w:pPr>
        <w:shd w:val="clear" w:color="auto" w:fill="E9E3D5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352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br/>
        <w:t>Table 9. </w:t>
      </w:r>
      <w:r w:rsidRPr="00CF3526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Sampling Activity retrieval elements and definitions </w:t>
      </w:r>
    </w:p>
    <w:tbl>
      <w:tblPr>
        <w:tblW w:w="0" w:type="auto"/>
        <w:shd w:val="clear" w:color="auto" w:fill="F7F0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7840"/>
      </w:tblGrid>
      <w:tr w:rsidR="00CF3526" w:rsidRPr="00CF3526" w:rsidTr="00CF3526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3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 Retrieval Element</w:t>
            </w:r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3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CF3526" w:rsidRPr="00CF3526" w:rsidTr="00CF3526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40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OrganizationIdentifier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A designator used to uniquely identify a unique business establishment within a context.</w:t>
            </w:r>
          </w:p>
        </w:tc>
      </w:tr>
      <w:tr w:rsidR="00CF3526" w:rsidRPr="00CF3526" w:rsidTr="00CF3526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OrganizationFormalName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The legal designator (i.e. formal name) of an organization.</w:t>
            </w:r>
          </w:p>
        </w:tc>
      </w:tr>
      <w:tr w:rsidR="00CF3526" w:rsidRPr="00CF3526" w:rsidTr="00CF3526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MonitoringLocationIdentifier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A designator used to describe the unique name, number, or code assigned to identify the monitoring location.</w:t>
            </w:r>
          </w:p>
        </w:tc>
      </w:tr>
      <w:tr w:rsidR="00CF3526" w:rsidRPr="00CF3526" w:rsidTr="00CF3526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40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ProjectIdentifier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A designator used to uniquely identify a data collection project within a context of an organization. Multiple projects may be concatenated together.</w:t>
            </w:r>
          </w:p>
        </w:tc>
      </w:tr>
      <w:tr w:rsidR="00CF3526" w:rsidRPr="00CF3526" w:rsidTr="00CF3526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40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ActivityIdentifier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Designator that uniquely identifies an activity within an organization.</w:t>
            </w:r>
          </w:p>
        </w:tc>
      </w:tr>
      <w:tr w:rsidR="00CF3526" w:rsidRPr="00CF3526" w:rsidTr="00CF3526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ActivityTypeCode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The text describing the type of activity.</w:t>
            </w:r>
          </w:p>
        </w:tc>
      </w:tr>
      <w:tr w:rsidR="00561014" w:rsidRPr="00CF3526" w:rsidTr="00CF3526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61014" w:rsidRPr="00CF3526" w:rsidRDefault="00561014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Etc…</w:t>
            </w:r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61014" w:rsidRPr="00CF3526" w:rsidRDefault="00561014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etc…</w:t>
            </w:r>
          </w:p>
        </w:tc>
      </w:tr>
      <w:tr w:rsidR="00CF3526" w:rsidRPr="00CF3526" w:rsidTr="00CF3526"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MethodSpecificationName</w:t>
            </w:r>
            <w:proofErr w:type="spellEnd"/>
          </w:p>
        </w:tc>
        <w:tc>
          <w:tcPr>
            <w:tcW w:w="0" w:type="auto"/>
            <w:shd w:val="clear" w:color="auto" w:fill="F7F0E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F3526" w:rsidRPr="00CF3526" w:rsidRDefault="00CF3526" w:rsidP="00CF3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Identifies the chemical speciation in which the measured result is expressed.</w:t>
            </w:r>
          </w:p>
        </w:tc>
      </w:tr>
    </w:tbl>
    <w:p w:rsidR="006516EB" w:rsidRDefault="00CF3526" w:rsidP="00561014">
      <w:pPr>
        <w:shd w:val="clear" w:color="auto" w:fill="E9E3D5"/>
        <w:spacing w:after="150" w:line="240" w:lineRule="auto"/>
      </w:pPr>
      <w:r w:rsidRPr="00CF352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sectPr w:rsidR="006516EB" w:rsidSect="009C40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51824"/>
    <w:multiLevelType w:val="hybridMultilevel"/>
    <w:tmpl w:val="F830C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6B2"/>
    <w:multiLevelType w:val="hybridMultilevel"/>
    <w:tmpl w:val="C6400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066A"/>
    <w:multiLevelType w:val="hybridMultilevel"/>
    <w:tmpl w:val="C6400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B6C69"/>
    <w:multiLevelType w:val="hybridMultilevel"/>
    <w:tmpl w:val="C6400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EB"/>
    <w:rsid w:val="001609B5"/>
    <w:rsid w:val="0028541D"/>
    <w:rsid w:val="002F3B9A"/>
    <w:rsid w:val="003F1BEE"/>
    <w:rsid w:val="00406093"/>
    <w:rsid w:val="00561014"/>
    <w:rsid w:val="006516EB"/>
    <w:rsid w:val="006C6B2D"/>
    <w:rsid w:val="0077392F"/>
    <w:rsid w:val="007A03C5"/>
    <w:rsid w:val="008712EC"/>
    <w:rsid w:val="009C401B"/>
    <w:rsid w:val="00A87BD4"/>
    <w:rsid w:val="00BC2A10"/>
    <w:rsid w:val="00CF3526"/>
    <w:rsid w:val="00DA7DE6"/>
    <w:rsid w:val="00F01B41"/>
    <w:rsid w:val="00F9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B7EC"/>
  <w15:chartTrackingRefBased/>
  <w15:docId w15:val="{125C2482-3CA9-4B83-865C-6C4B1495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16EB"/>
    <w:rPr>
      <w:i/>
      <w:iCs/>
    </w:rPr>
  </w:style>
  <w:style w:type="character" w:styleId="Strong">
    <w:name w:val="Strong"/>
    <w:basedOn w:val="DefaultParagraphFont"/>
    <w:uiPriority w:val="22"/>
    <w:qFormat/>
    <w:rsid w:val="006516EB"/>
    <w:rPr>
      <w:b/>
      <w:bCs/>
    </w:rPr>
  </w:style>
  <w:style w:type="character" w:styleId="Hyperlink">
    <w:name w:val="Hyperlink"/>
    <w:basedOn w:val="DefaultParagraphFont"/>
    <w:uiPriority w:val="99"/>
    <w:unhideWhenUsed/>
    <w:rsid w:val="006516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s://www.waterqualitydata.us/portal_userguide/" TargetMode="Externa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DDA310-A6B3-4B49-A2EC-D4FC213AD3A5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78B0292-F83B-4AD0-9E3C-E9A4664B3800}">
      <dgm:prSet phldrT="[Text]"/>
      <dgm:spPr/>
      <dgm:t>
        <a:bodyPr/>
        <a:lstStyle/>
        <a:p>
          <a:r>
            <a:rPr lang="en-US" b="0" i="0">
              <a:solidFill>
                <a:schemeClr val="bg1"/>
              </a:solidFill>
            </a:rPr>
            <a:t>Result Detection Quantitation Limit Data</a:t>
          </a:r>
        </a:p>
        <a:p>
          <a:pPr lvl="0"/>
          <a:r>
            <a:rPr lang="en-US" b="0" i="0">
              <a:solidFill>
                <a:schemeClr val="bg1"/>
              </a:solidFill>
            </a:rPr>
            <a:t>Table 8.</a:t>
          </a:r>
        </a:p>
        <a:p>
          <a:pPr lvl="0"/>
          <a:r>
            <a:rPr lang="en-US" b="0" i="0">
              <a:solidFill>
                <a:srgbClr val="FF0000"/>
              </a:solidFill>
            </a:rPr>
            <a:t>ResultIdentifier</a:t>
          </a:r>
          <a:endParaRPr lang="en-US">
            <a:solidFill>
              <a:srgbClr val="FF0000"/>
            </a:solidFill>
          </a:endParaRPr>
        </a:p>
      </dgm:t>
    </dgm:pt>
    <dgm:pt modelId="{2276D8C9-8586-436B-8AE3-4E9F69FC66C7}" type="parTrans" cxnId="{1E05D916-BA75-4585-83BB-1ECDFDCA1203}">
      <dgm:prSet/>
      <dgm:spPr/>
      <dgm:t>
        <a:bodyPr/>
        <a:lstStyle/>
        <a:p>
          <a:endParaRPr lang="en-US"/>
        </a:p>
      </dgm:t>
    </dgm:pt>
    <dgm:pt modelId="{F01DF8F0-EC92-4E8D-A290-32C04742D2C5}" type="sibTrans" cxnId="{1E05D916-BA75-4585-83BB-1ECDFDCA1203}">
      <dgm:prSet/>
      <dgm:spPr/>
      <dgm:t>
        <a:bodyPr/>
        <a:lstStyle/>
        <a:p>
          <a:endParaRPr lang="en-US"/>
        </a:p>
      </dgm:t>
    </dgm:pt>
    <dgm:pt modelId="{47CFE1F1-A561-4ADC-AB97-63502AABD785}">
      <dgm:prSet phldrT="[Text]"/>
      <dgm:spPr/>
      <dgm:t>
        <a:bodyPr/>
        <a:lstStyle/>
        <a:p>
          <a:r>
            <a:rPr lang="en-US"/>
            <a:t>Download Limits</a:t>
          </a:r>
        </a:p>
      </dgm:t>
    </dgm:pt>
    <dgm:pt modelId="{B2E37C7E-24AD-4C8A-A492-33CF2CD07A88}" type="parTrans" cxnId="{B9184310-C1F5-4781-998A-15863911C366}">
      <dgm:prSet/>
      <dgm:spPr/>
      <dgm:t>
        <a:bodyPr/>
        <a:lstStyle/>
        <a:p>
          <a:endParaRPr lang="en-US"/>
        </a:p>
      </dgm:t>
    </dgm:pt>
    <dgm:pt modelId="{667DD4F0-667A-4AF4-86EC-2352C5C61CE4}" type="sibTrans" cxnId="{B9184310-C1F5-4781-998A-15863911C366}">
      <dgm:prSet/>
      <dgm:spPr/>
      <dgm:t>
        <a:bodyPr/>
        <a:lstStyle/>
        <a:p>
          <a:endParaRPr lang="en-US"/>
        </a:p>
      </dgm:t>
    </dgm:pt>
    <dgm:pt modelId="{5FAC2EA6-E8A4-4AAD-A9B2-ABF45618137F}">
      <dgm:prSet phldrT="[Text]" custT="1"/>
      <dgm:spPr/>
      <dgm:t>
        <a:bodyPr/>
        <a:lstStyle/>
        <a:p>
          <a:r>
            <a:rPr lang="en-US" sz="1400" b="0" i="0">
              <a:solidFill>
                <a:schemeClr val="bg1"/>
              </a:solidFill>
            </a:rPr>
            <a:t>Sample results (narrow)</a:t>
          </a:r>
        </a:p>
        <a:p>
          <a:pPr lvl="0"/>
          <a:r>
            <a:rPr lang="en-US" sz="900" b="0" i="0">
              <a:solidFill>
                <a:schemeClr val="bg1"/>
              </a:solidFill>
            </a:rPr>
            <a:t>Table 7.</a:t>
          </a:r>
        </a:p>
        <a:p>
          <a:pPr lvl="0"/>
          <a:r>
            <a:rPr lang="en-US" sz="900" b="0" i="0">
              <a:solidFill>
                <a:srgbClr val="FF0000"/>
              </a:solidFill>
            </a:rPr>
            <a:t>ResultIdentifier</a:t>
          </a:r>
        </a:p>
        <a:p>
          <a:pPr lvl="0"/>
          <a:r>
            <a:rPr lang="en-US" sz="900" b="0" i="0">
              <a:solidFill>
                <a:srgbClr val="FFFF00"/>
              </a:solidFill>
            </a:rPr>
            <a:t>ActivityIdentifier</a:t>
          </a:r>
          <a:endParaRPr lang="en-US" sz="900">
            <a:solidFill>
              <a:srgbClr val="FFFF00"/>
            </a:solidFill>
          </a:endParaRPr>
        </a:p>
      </dgm:t>
    </dgm:pt>
    <dgm:pt modelId="{C364215A-A3B3-43E4-A390-4A60700B36F3}" type="parTrans" cxnId="{1A7C6CAB-1B00-48D6-A143-4A7DAAD719E7}">
      <dgm:prSet/>
      <dgm:spPr/>
      <dgm:t>
        <a:bodyPr/>
        <a:lstStyle/>
        <a:p>
          <a:endParaRPr lang="en-US"/>
        </a:p>
      </dgm:t>
    </dgm:pt>
    <dgm:pt modelId="{8900430D-BAD6-40B5-BCB6-214B7B65BDF2}" type="sibTrans" cxnId="{1A7C6CAB-1B00-48D6-A143-4A7DAAD719E7}">
      <dgm:prSet/>
      <dgm:spPr/>
      <dgm:t>
        <a:bodyPr/>
        <a:lstStyle/>
        <a:p>
          <a:endParaRPr lang="en-US"/>
        </a:p>
      </dgm:t>
    </dgm:pt>
    <dgm:pt modelId="{DC7CA22A-52B4-4198-9FF0-D497C8C7F122}">
      <dgm:prSet phldrT="[Text]"/>
      <dgm:spPr/>
      <dgm:t>
        <a:bodyPr/>
        <a:lstStyle/>
        <a:p>
          <a:r>
            <a:rPr lang="en-US"/>
            <a:t>Download Results</a:t>
          </a:r>
        </a:p>
      </dgm:t>
    </dgm:pt>
    <dgm:pt modelId="{8C24C02D-87E6-464F-A33F-118A462657A8}" type="parTrans" cxnId="{98169B40-0F58-46C7-A5D1-95F613FBFDD8}">
      <dgm:prSet/>
      <dgm:spPr/>
      <dgm:t>
        <a:bodyPr/>
        <a:lstStyle/>
        <a:p>
          <a:endParaRPr lang="en-US"/>
        </a:p>
      </dgm:t>
    </dgm:pt>
    <dgm:pt modelId="{75ABB321-3836-4DA8-8FA4-B66A42CC7039}" type="sibTrans" cxnId="{98169B40-0F58-46C7-A5D1-95F613FBFDD8}">
      <dgm:prSet/>
      <dgm:spPr/>
      <dgm:t>
        <a:bodyPr/>
        <a:lstStyle/>
        <a:p>
          <a:endParaRPr lang="en-US"/>
        </a:p>
      </dgm:t>
    </dgm:pt>
    <dgm:pt modelId="{7724FDE4-78B1-4E83-8BF8-DCFED46DEF8B}">
      <dgm:prSet phldrT="[Text]"/>
      <dgm:spPr/>
      <dgm:t>
        <a:bodyPr/>
        <a:lstStyle/>
        <a:p>
          <a:r>
            <a:rPr lang="en-US" b="0" i="0"/>
            <a:t>Sampling Activity</a:t>
          </a:r>
        </a:p>
        <a:p>
          <a:r>
            <a:rPr lang="en-US" b="0" i="0"/>
            <a:t>Table 9</a:t>
          </a:r>
        </a:p>
        <a:p>
          <a:r>
            <a:rPr lang="en-US" b="0" i="0">
              <a:solidFill>
                <a:srgbClr val="FFFF00"/>
              </a:solidFill>
            </a:rPr>
            <a:t>ActivityIdentifier</a:t>
          </a:r>
          <a:endParaRPr lang="en-US">
            <a:solidFill>
              <a:srgbClr val="FFFF00"/>
            </a:solidFill>
          </a:endParaRPr>
        </a:p>
      </dgm:t>
    </dgm:pt>
    <dgm:pt modelId="{64223ACE-AEB7-41C7-BF48-D194562DF47F}" type="parTrans" cxnId="{3556721B-7325-4B8C-B1F0-A8F0BD53A616}">
      <dgm:prSet/>
      <dgm:spPr/>
      <dgm:t>
        <a:bodyPr/>
        <a:lstStyle/>
        <a:p>
          <a:endParaRPr lang="en-US"/>
        </a:p>
      </dgm:t>
    </dgm:pt>
    <dgm:pt modelId="{20E276B9-EA9B-4331-93CA-5B3D2942BE6B}" type="sibTrans" cxnId="{3556721B-7325-4B8C-B1F0-A8F0BD53A616}">
      <dgm:prSet/>
      <dgm:spPr/>
      <dgm:t>
        <a:bodyPr/>
        <a:lstStyle/>
        <a:p>
          <a:endParaRPr lang="en-US"/>
        </a:p>
      </dgm:t>
    </dgm:pt>
    <dgm:pt modelId="{9D020B2B-7F3D-460A-AB0F-858E509BEA3E}">
      <dgm:prSet phldrT="[Text]"/>
      <dgm:spPr/>
      <dgm:t>
        <a:bodyPr/>
        <a:lstStyle/>
        <a:p>
          <a:r>
            <a:rPr lang="en-US"/>
            <a:t>Download Biological Activity  Metadata</a:t>
          </a:r>
        </a:p>
      </dgm:t>
    </dgm:pt>
    <dgm:pt modelId="{1E4AE843-3577-4514-ACF4-9F30BAA540EA}" type="parTrans" cxnId="{2805C6EB-F7DF-4AD3-9454-439D0F4F74DE}">
      <dgm:prSet/>
      <dgm:spPr/>
      <dgm:t>
        <a:bodyPr/>
        <a:lstStyle/>
        <a:p>
          <a:endParaRPr lang="en-US"/>
        </a:p>
      </dgm:t>
    </dgm:pt>
    <dgm:pt modelId="{29381099-0DD2-48E8-8BBC-EA615026E9EB}" type="sibTrans" cxnId="{2805C6EB-F7DF-4AD3-9454-439D0F4F74DE}">
      <dgm:prSet/>
      <dgm:spPr/>
      <dgm:t>
        <a:bodyPr/>
        <a:lstStyle/>
        <a:p>
          <a:endParaRPr lang="en-US"/>
        </a:p>
      </dgm:t>
    </dgm:pt>
    <dgm:pt modelId="{77ABC21E-859E-4382-BCB1-9EFA6A90E11F}" type="pres">
      <dgm:prSet presAssocID="{E1DDA310-A6B3-4B49-A2EC-D4FC213AD3A5}" presName="rootnode" presStyleCnt="0">
        <dgm:presLayoutVars>
          <dgm:chMax/>
          <dgm:chPref/>
          <dgm:dir/>
          <dgm:animLvl val="lvl"/>
        </dgm:presLayoutVars>
      </dgm:prSet>
      <dgm:spPr/>
    </dgm:pt>
    <dgm:pt modelId="{9860F7B0-A327-4A93-B25B-5187048DB877}" type="pres">
      <dgm:prSet presAssocID="{578B0292-F83B-4AD0-9E3C-E9A4664B3800}" presName="composite" presStyleCnt="0"/>
      <dgm:spPr/>
    </dgm:pt>
    <dgm:pt modelId="{708A5223-D571-4572-8B2A-DB819DA3042B}" type="pres">
      <dgm:prSet presAssocID="{578B0292-F83B-4AD0-9E3C-E9A4664B3800}" presName="bentUpArrow1" presStyleLbl="alignImgPlace1" presStyleIdx="0" presStyleCnt="2"/>
      <dgm:spPr/>
    </dgm:pt>
    <dgm:pt modelId="{E604B5D2-77CA-4250-BAD1-B3272CCBBC83}" type="pres">
      <dgm:prSet presAssocID="{578B0292-F83B-4AD0-9E3C-E9A4664B3800}" presName="ParentText" presStyleLbl="node1" presStyleIdx="0" presStyleCnt="3" custLinFactNeighborX="456">
        <dgm:presLayoutVars>
          <dgm:chMax val="1"/>
          <dgm:chPref val="1"/>
          <dgm:bulletEnabled val="1"/>
        </dgm:presLayoutVars>
      </dgm:prSet>
      <dgm:spPr/>
    </dgm:pt>
    <dgm:pt modelId="{20928B47-2EBC-4926-84E4-B55E207C45A6}" type="pres">
      <dgm:prSet presAssocID="{578B0292-F83B-4AD0-9E3C-E9A4664B3800}" presName="ChildText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0F771CD0-0203-4092-A1F8-AF948AD9D5A0}" type="pres">
      <dgm:prSet presAssocID="{F01DF8F0-EC92-4E8D-A290-32C04742D2C5}" presName="sibTrans" presStyleCnt="0"/>
      <dgm:spPr/>
    </dgm:pt>
    <dgm:pt modelId="{63927F44-DCF0-4A63-A621-DCCAE2F9D685}" type="pres">
      <dgm:prSet presAssocID="{5FAC2EA6-E8A4-4AAD-A9B2-ABF45618137F}" presName="composite" presStyleCnt="0"/>
      <dgm:spPr/>
    </dgm:pt>
    <dgm:pt modelId="{F8E17731-3AA9-409C-BE15-B514D8C45D73}" type="pres">
      <dgm:prSet presAssocID="{5FAC2EA6-E8A4-4AAD-A9B2-ABF45618137F}" presName="bentUpArrow1" presStyleLbl="alignImgPlace1" presStyleIdx="1" presStyleCnt="2"/>
      <dgm:spPr/>
    </dgm:pt>
    <dgm:pt modelId="{FF72EBE8-44DE-4B40-BE02-407CD6C070C9}" type="pres">
      <dgm:prSet presAssocID="{5FAC2EA6-E8A4-4AAD-A9B2-ABF45618137F}" presName="ParentText" presStyleLbl="node1" presStyleIdx="1" presStyleCnt="3">
        <dgm:presLayoutVars>
          <dgm:chMax val="1"/>
          <dgm:chPref val="1"/>
          <dgm:bulletEnabled val="1"/>
        </dgm:presLayoutVars>
      </dgm:prSet>
      <dgm:spPr/>
    </dgm:pt>
    <dgm:pt modelId="{27ACA76B-E869-4292-9DF1-63F37DB13271}" type="pres">
      <dgm:prSet presAssocID="{5FAC2EA6-E8A4-4AAD-A9B2-ABF45618137F}" presName="ChildText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502AD9D8-6002-4208-9B1B-C74C7E9CB9BC}" type="pres">
      <dgm:prSet presAssocID="{8900430D-BAD6-40B5-BCB6-214B7B65BDF2}" presName="sibTrans" presStyleCnt="0"/>
      <dgm:spPr/>
    </dgm:pt>
    <dgm:pt modelId="{9EBF6BFF-6C79-44B1-800E-9CF3F59D0E55}" type="pres">
      <dgm:prSet presAssocID="{7724FDE4-78B1-4E83-8BF8-DCFED46DEF8B}" presName="composite" presStyleCnt="0"/>
      <dgm:spPr/>
    </dgm:pt>
    <dgm:pt modelId="{D2BBD19A-84FD-45BB-BF3D-46C85904F628}" type="pres">
      <dgm:prSet presAssocID="{7724FDE4-78B1-4E83-8BF8-DCFED46DEF8B}" presName="ParentText" presStyleLbl="node1" presStyleIdx="2" presStyleCnt="3" custLinFactNeighborX="0">
        <dgm:presLayoutVars>
          <dgm:chMax val="1"/>
          <dgm:chPref val="1"/>
          <dgm:bulletEnabled val="1"/>
        </dgm:presLayoutVars>
      </dgm:prSet>
      <dgm:spPr/>
    </dgm:pt>
    <dgm:pt modelId="{7FE1580B-30DC-485A-9580-F2B8509D3847}" type="pres">
      <dgm:prSet presAssocID="{7724FDE4-78B1-4E83-8BF8-DCFED46DEF8B}" presName="FinalChildText" presStyleLbl="revTx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B9184310-C1F5-4781-998A-15863911C366}" srcId="{578B0292-F83B-4AD0-9E3C-E9A4664B3800}" destId="{47CFE1F1-A561-4ADC-AB97-63502AABD785}" srcOrd="0" destOrd="0" parTransId="{B2E37C7E-24AD-4C8A-A492-33CF2CD07A88}" sibTransId="{667DD4F0-667A-4AF4-86EC-2352C5C61CE4}"/>
    <dgm:cxn modelId="{1E05D916-BA75-4585-83BB-1ECDFDCA1203}" srcId="{E1DDA310-A6B3-4B49-A2EC-D4FC213AD3A5}" destId="{578B0292-F83B-4AD0-9E3C-E9A4664B3800}" srcOrd="0" destOrd="0" parTransId="{2276D8C9-8586-436B-8AE3-4E9F69FC66C7}" sibTransId="{F01DF8F0-EC92-4E8D-A290-32C04742D2C5}"/>
    <dgm:cxn modelId="{3556721B-7325-4B8C-B1F0-A8F0BD53A616}" srcId="{E1DDA310-A6B3-4B49-A2EC-D4FC213AD3A5}" destId="{7724FDE4-78B1-4E83-8BF8-DCFED46DEF8B}" srcOrd="2" destOrd="0" parTransId="{64223ACE-AEB7-41C7-BF48-D194562DF47F}" sibTransId="{20E276B9-EA9B-4331-93CA-5B3D2942BE6B}"/>
    <dgm:cxn modelId="{21A1ED31-205B-498F-9C02-E8A056C4E801}" type="presOf" srcId="{9D020B2B-7F3D-460A-AB0F-858E509BEA3E}" destId="{7FE1580B-30DC-485A-9580-F2B8509D3847}" srcOrd="0" destOrd="0" presId="urn:microsoft.com/office/officeart/2005/8/layout/StepDownProcess"/>
    <dgm:cxn modelId="{75078639-15F1-4C47-B665-D4A5F53E8811}" type="presOf" srcId="{5FAC2EA6-E8A4-4AAD-A9B2-ABF45618137F}" destId="{FF72EBE8-44DE-4B40-BE02-407CD6C070C9}" srcOrd="0" destOrd="0" presId="urn:microsoft.com/office/officeart/2005/8/layout/StepDownProcess"/>
    <dgm:cxn modelId="{98169B40-0F58-46C7-A5D1-95F613FBFDD8}" srcId="{5FAC2EA6-E8A4-4AAD-A9B2-ABF45618137F}" destId="{DC7CA22A-52B4-4198-9FF0-D497C8C7F122}" srcOrd="0" destOrd="0" parTransId="{8C24C02D-87E6-464F-A33F-118A462657A8}" sibTransId="{75ABB321-3836-4DA8-8FA4-B66A42CC7039}"/>
    <dgm:cxn modelId="{07EEE35F-85B6-4AAB-B62A-177DE7C8D975}" type="presOf" srcId="{E1DDA310-A6B3-4B49-A2EC-D4FC213AD3A5}" destId="{77ABC21E-859E-4382-BCB1-9EFA6A90E11F}" srcOrd="0" destOrd="0" presId="urn:microsoft.com/office/officeart/2005/8/layout/StepDownProcess"/>
    <dgm:cxn modelId="{78B41979-0BEB-4430-8F8C-B75F7B2302AD}" type="presOf" srcId="{7724FDE4-78B1-4E83-8BF8-DCFED46DEF8B}" destId="{D2BBD19A-84FD-45BB-BF3D-46C85904F628}" srcOrd="0" destOrd="0" presId="urn:microsoft.com/office/officeart/2005/8/layout/StepDownProcess"/>
    <dgm:cxn modelId="{273CB293-C9F4-4FDE-9592-0102824F9ACC}" type="presOf" srcId="{DC7CA22A-52B4-4198-9FF0-D497C8C7F122}" destId="{27ACA76B-E869-4292-9DF1-63F37DB13271}" srcOrd="0" destOrd="0" presId="urn:microsoft.com/office/officeart/2005/8/layout/StepDownProcess"/>
    <dgm:cxn modelId="{B182B6A5-E803-43F8-9DF6-08DD45281AAD}" type="presOf" srcId="{47CFE1F1-A561-4ADC-AB97-63502AABD785}" destId="{20928B47-2EBC-4926-84E4-B55E207C45A6}" srcOrd="0" destOrd="0" presId="urn:microsoft.com/office/officeart/2005/8/layout/StepDownProcess"/>
    <dgm:cxn modelId="{1A7C6CAB-1B00-48D6-A143-4A7DAAD719E7}" srcId="{E1DDA310-A6B3-4B49-A2EC-D4FC213AD3A5}" destId="{5FAC2EA6-E8A4-4AAD-A9B2-ABF45618137F}" srcOrd="1" destOrd="0" parTransId="{C364215A-A3B3-43E4-A390-4A60700B36F3}" sibTransId="{8900430D-BAD6-40B5-BCB6-214B7B65BDF2}"/>
    <dgm:cxn modelId="{002367D2-976B-4954-9917-F2C1034DDCC8}" type="presOf" srcId="{578B0292-F83B-4AD0-9E3C-E9A4664B3800}" destId="{E604B5D2-77CA-4250-BAD1-B3272CCBBC83}" srcOrd="0" destOrd="0" presId="urn:microsoft.com/office/officeart/2005/8/layout/StepDownProcess"/>
    <dgm:cxn modelId="{2805C6EB-F7DF-4AD3-9454-439D0F4F74DE}" srcId="{7724FDE4-78B1-4E83-8BF8-DCFED46DEF8B}" destId="{9D020B2B-7F3D-460A-AB0F-858E509BEA3E}" srcOrd="0" destOrd="0" parTransId="{1E4AE843-3577-4514-ACF4-9F30BAA540EA}" sibTransId="{29381099-0DD2-48E8-8BBC-EA615026E9EB}"/>
    <dgm:cxn modelId="{D67F7885-FE6F-44E2-BD11-F1792AD520E8}" type="presParOf" srcId="{77ABC21E-859E-4382-BCB1-9EFA6A90E11F}" destId="{9860F7B0-A327-4A93-B25B-5187048DB877}" srcOrd="0" destOrd="0" presId="urn:microsoft.com/office/officeart/2005/8/layout/StepDownProcess"/>
    <dgm:cxn modelId="{8B25DFB7-4FA9-4B43-846A-C52AB099F4C9}" type="presParOf" srcId="{9860F7B0-A327-4A93-B25B-5187048DB877}" destId="{708A5223-D571-4572-8B2A-DB819DA3042B}" srcOrd="0" destOrd="0" presId="urn:microsoft.com/office/officeart/2005/8/layout/StepDownProcess"/>
    <dgm:cxn modelId="{C31F0514-7B6A-46BC-A425-ADC6A1ED798E}" type="presParOf" srcId="{9860F7B0-A327-4A93-B25B-5187048DB877}" destId="{E604B5D2-77CA-4250-BAD1-B3272CCBBC83}" srcOrd="1" destOrd="0" presId="urn:microsoft.com/office/officeart/2005/8/layout/StepDownProcess"/>
    <dgm:cxn modelId="{D2DD444F-D777-4631-8167-2C36DEED2C1B}" type="presParOf" srcId="{9860F7B0-A327-4A93-B25B-5187048DB877}" destId="{20928B47-2EBC-4926-84E4-B55E207C45A6}" srcOrd="2" destOrd="0" presId="urn:microsoft.com/office/officeart/2005/8/layout/StepDownProcess"/>
    <dgm:cxn modelId="{2955D90F-788E-496D-A013-4FC1777F5F2F}" type="presParOf" srcId="{77ABC21E-859E-4382-BCB1-9EFA6A90E11F}" destId="{0F771CD0-0203-4092-A1F8-AF948AD9D5A0}" srcOrd="1" destOrd="0" presId="urn:microsoft.com/office/officeart/2005/8/layout/StepDownProcess"/>
    <dgm:cxn modelId="{55FAD319-7098-4B86-8754-3C9B265FF3E1}" type="presParOf" srcId="{77ABC21E-859E-4382-BCB1-9EFA6A90E11F}" destId="{63927F44-DCF0-4A63-A621-DCCAE2F9D685}" srcOrd="2" destOrd="0" presId="urn:microsoft.com/office/officeart/2005/8/layout/StepDownProcess"/>
    <dgm:cxn modelId="{B08DC6BD-8214-4FA0-96B3-10DEF855A505}" type="presParOf" srcId="{63927F44-DCF0-4A63-A621-DCCAE2F9D685}" destId="{F8E17731-3AA9-409C-BE15-B514D8C45D73}" srcOrd="0" destOrd="0" presId="urn:microsoft.com/office/officeart/2005/8/layout/StepDownProcess"/>
    <dgm:cxn modelId="{81B2B54A-8841-4338-961A-C28D25E7AB9E}" type="presParOf" srcId="{63927F44-DCF0-4A63-A621-DCCAE2F9D685}" destId="{FF72EBE8-44DE-4B40-BE02-407CD6C070C9}" srcOrd="1" destOrd="0" presId="urn:microsoft.com/office/officeart/2005/8/layout/StepDownProcess"/>
    <dgm:cxn modelId="{EE9B131D-5366-4717-A2EA-8CD9F47C6641}" type="presParOf" srcId="{63927F44-DCF0-4A63-A621-DCCAE2F9D685}" destId="{27ACA76B-E869-4292-9DF1-63F37DB13271}" srcOrd="2" destOrd="0" presId="urn:microsoft.com/office/officeart/2005/8/layout/StepDownProcess"/>
    <dgm:cxn modelId="{DD8B1527-137F-4E81-B9B6-061920886A2E}" type="presParOf" srcId="{77ABC21E-859E-4382-BCB1-9EFA6A90E11F}" destId="{502AD9D8-6002-4208-9B1B-C74C7E9CB9BC}" srcOrd="3" destOrd="0" presId="urn:microsoft.com/office/officeart/2005/8/layout/StepDownProcess"/>
    <dgm:cxn modelId="{34512EAE-4F71-4355-9826-C171EAAC1944}" type="presParOf" srcId="{77ABC21E-859E-4382-BCB1-9EFA6A90E11F}" destId="{9EBF6BFF-6C79-44B1-800E-9CF3F59D0E55}" srcOrd="4" destOrd="0" presId="urn:microsoft.com/office/officeart/2005/8/layout/StepDownProcess"/>
    <dgm:cxn modelId="{3D7DFC15-6AB4-439A-BCC9-799596B5D68D}" type="presParOf" srcId="{9EBF6BFF-6C79-44B1-800E-9CF3F59D0E55}" destId="{D2BBD19A-84FD-45BB-BF3D-46C85904F628}" srcOrd="0" destOrd="0" presId="urn:microsoft.com/office/officeart/2005/8/layout/StepDownProcess"/>
    <dgm:cxn modelId="{07F77A16-AAEC-457F-BDA7-FB548DBC763C}" type="presParOf" srcId="{9EBF6BFF-6C79-44B1-800E-9CF3F59D0E55}" destId="{7FE1580B-30DC-485A-9580-F2B8509D3847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8A5223-D571-4572-8B2A-DB819DA3042B}">
      <dsp:nvSpPr>
        <dsp:cNvPr id="0" name=""/>
        <dsp:cNvSpPr/>
      </dsp:nvSpPr>
      <dsp:spPr>
        <a:xfrm rot="5400000">
          <a:off x="605734" y="935058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04B5D2-77CA-4250-BAD1-B3272CCBBC83}">
      <dsp:nvSpPr>
        <dsp:cNvPr id="0" name=""/>
        <dsp:cNvSpPr/>
      </dsp:nvSpPr>
      <dsp:spPr>
        <a:xfrm>
          <a:off x="392983" y="18336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kern="1200">
              <a:solidFill>
                <a:schemeClr val="bg1"/>
              </a:solidFill>
            </a:rPr>
            <a:t>Result Detection Quantitation Limit Data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kern="1200">
              <a:solidFill>
                <a:schemeClr val="bg1"/>
              </a:solidFill>
            </a:rPr>
            <a:t>Table 8.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kern="1200">
              <a:solidFill>
                <a:srgbClr val="FF0000"/>
              </a:solidFill>
            </a:rPr>
            <a:t>ResultIdentifier</a:t>
          </a:r>
          <a:endParaRPr lang="en-US" sz="1000" kern="1200">
            <a:solidFill>
              <a:srgbClr val="FF0000"/>
            </a:solidFill>
          </a:endParaRPr>
        </a:p>
      </dsp:txBody>
      <dsp:txXfrm>
        <a:off x="440561" y="65914"/>
        <a:ext cx="1296988" cy="879300"/>
      </dsp:txXfrm>
    </dsp:sp>
    <dsp:sp modelId="{20928B47-2EBC-4926-84E4-B55E207C45A6}">
      <dsp:nvSpPr>
        <dsp:cNvPr id="0" name=""/>
        <dsp:cNvSpPr/>
      </dsp:nvSpPr>
      <dsp:spPr>
        <a:xfrm>
          <a:off x="1778779" y="111272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Download Limits</a:t>
          </a:r>
        </a:p>
      </dsp:txBody>
      <dsp:txXfrm>
        <a:off x="1778779" y="111272"/>
        <a:ext cx="1012513" cy="787598"/>
      </dsp:txXfrm>
    </dsp:sp>
    <dsp:sp modelId="{F8E17731-3AA9-409C-BE15-B514D8C45D73}">
      <dsp:nvSpPr>
        <dsp:cNvPr id="0" name=""/>
        <dsp:cNvSpPr/>
      </dsp:nvSpPr>
      <dsp:spPr>
        <a:xfrm rot="5400000">
          <a:off x="1759969" y="2029694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72EBE8-44DE-4B40-BE02-407CD6C070C9}">
      <dsp:nvSpPr>
        <dsp:cNvPr id="0" name=""/>
        <dsp:cNvSpPr/>
      </dsp:nvSpPr>
      <dsp:spPr>
        <a:xfrm>
          <a:off x="1540870" y="1112971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solidFill>
                <a:schemeClr val="bg1"/>
              </a:solidFill>
            </a:rPr>
            <a:t>Sample results (narrow)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kern="1200">
              <a:solidFill>
                <a:schemeClr val="bg1"/>
              </a:solidFill>
            </a:rPr>
            <a:t>Table 7.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kern="1200">
              <a:solidFill>
                <a:srgbClr val="FF0000"/>
              </a:solidFill>
            </a:rPr>
            <a:t>ResultIdentifier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i="0" kern="1200">
              <a:solidFill>
                <a:srgbClr val="FFFF00"/>
              </a:solidFill>
            </a:rPr>
            <a:t>ActivityIdentifier</a:t>
          </a:r>
          <a:endParaRPr lang="en-US" sz="900" kern="1200">
            <a:solidFill>
              <a:srgbClr val="FFFF00"/>
            </a:solidFill>
          </a:endParaRPr>
        </a:p>
      </dsp:txBody>
      <dsp:txXfrm>
        <a:off x="1588448" y="1160549"/>
        <a:ext cx="1296988" cy="879300"/>
      </dsp:txXfrm>
    </dsp:sp>
    <dsp:sp modelId="{27ACA76B-E869-4292-9DF1-63F37DB13271}">
      <dsp:nvSpPr>
        <dsp:cNvPr id="0" name=""/>
        <dsp:cNvSpPr/>
      </dsp:nvSpPr>
      <dsp:spPr>
        <a:xfrm>
          <a:off x="2933015" y="1205908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Download Results</a:t>
          </a:r>
        </a:p>
      </dsp:txBody>
      <dsp:txXfrm>
        <a:off x="2933015" y="1205908"/>
        <a:ext cx="1012513" cy="787598"/>
      </dsp:txXfrm>
    </dsp:sp>
    <dsp:sp modelId="{D2BBD19A-84FD-45BB-BF3D-46C85904F628}">
      <dsp:nvSpPr>
        <dsp:cNvPr id="0" name=""/>
        <dsp:cNvSpPr/>
      </dsp:nvSpPr>
      <dsp:spPr>
        <a:xfrm>
          <a:off x="2695106" y="2207607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kern="1200"/>
            <a:t>Sampling Activity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kern="1200"/>
            <a:t>Table 9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i="0" kern="1200">
              <a:solidFill>
                <a:srgbClr val="FFFF00"/>
              </a:solidFill>
            </a:rPr>
            <a:t>ActivityIdentifier</a:t>
          </a:r>
          <a:endParaRPr lang="en-US" sz="1000" kern="1200">
            <a:solidFill>
              <a:srgbClr val="FFFF00"/>
            </a:solidFill>
          </a:endParaRPr>
        </a:p>
      </dsp:txBody>
      <dsp:txXfrm>
        <a:off x="2742684" y="2255185"/>
        <a:ext cx="1296988" cy="879300"/>
      </dsp:txXfrm>
    </dsp:sp>
    <dsp:sp modelId="{7FE1580B-30DC-485A-9580-F2B8509D3847}">
      <dsp:nvSpPr>
        <dsp:cNvPr id="0" name=""/>
        <dsp:cNvSpPr/>
      </dsp:nvSpPr>
      <dsp:spPr>
        <a:xfrm>
          <a:off x="4087251" y="2300544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Download Biological Activity  Metadata</a:t>
          </a:r>
        </a:p>
      </dsp:txBody>
      <dsp:txXfrm>
        <a:off x="4087251" y="2300544"/>
        <a:ext cx="1012513" cy="787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Kevin</dc:creator>
  <cp:keywords/>
  <dc:description/>
  <cp:lastModifiedBy>Christian, Kevin</cp:lastModifiedBy>
  <cp:revision>10</cp:revision>
  <dcterms:created xsi:type="dcterms:W3CDTF">2017-07-26T14:11:00Z</dcterms:created>
  <dcterms:modified xsi:type="dcterms:W3CDTF">2018-08-23T14:17:00Z</dcterms:modified>
</cp:coreProperties>
</file>